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outlineLvl w:val="9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《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课程名称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》</w:t>
      </w:r>
    </w:p>
    <w:p>
      <w:pPr>
        <w:spacing w:line="240" w:lineRule="auto"/>
        <w:ind w:firstLine="0" w:firstLineChars="0"/>
        <w:jc w:val="center"/>
        <w:outlineLvl w:val="9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课程标准</w:t>
      </w:r>
    </w:p>
    <w:p>
      <w:pPr>
        <w:spacing w:line="240" w:lineRule="auto"/>
        <w:ind w:firstLine="0" w:firstLineChars="0"/>
        <w:jc w:val="center"/>
        <w:outlineLvl w:val="9"/>
        <w:rPr>
          <w:rFonts w:hint="eastAsia" w:eastAsia="宋体"/>
          <w:b/>
          <w:sz w:val="72"/>
          <w:szCs w:val="72"/>
          <w:lang w:eastAsia="zh-CN"/>
        </w:rPr>
      </w:pPr>
      <w:r>
        <w:rPr>
          <w:rFonts w:hint="eastAsia"/>
          <w:b/>
          <w:sz w:val="72"/>
          <w:szCs w:val="72"/>
          <w:lang w:eastAsia="zh-CN"/>
        </w:rPr>
        <w:t>（</w:t>
      </w:r>
      <w:r>
        <w:rPr>
          <w:rFonts w:hint="eastAsia"/>
          <w:b/>
          <w:sz w:val="72"/>
          <w:szCs w:val="72"/>
          <w:lang w:val="en-US" w:eastAsia="zh-CN"/>
        </w:rPr>
        <w:t>通识课类</w:t>
      </w:r>
      <w:r>
        <w:rPr>
          <w:rFonts w:hint="eastAsia"/>
          <w:b/>
          <w:sz w:val="72"/>
          <w:szCs w:val="72"/>
          <w:lang w:eastAsia="zh-CN"/>
        </w:rPr>
        <w:t>）</w:t>
      </w:r>
    </w:p>
    <w:p>
      <w:pPr>
        <w:spacing w:line="360" w:lineRule="auto"/>
        <w:ind w:firstLine="480"/>
        <w:jc w:val="center"/>
        <w:rPr>
          <w:rFonts w:hint="eastAsia" w:ascii="宋体" w:hAnsi="宋体"/>
        </w:rPr>
      </w:pP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 xml:space="preserve">部 </w:t>
      </w:r>
      <w:r>
        <w:rPr>
          <w:rFonts w:eastAsia="黑体"/>
          <w:kern w:val="0"/>
          <w:sz w:val="36"/>
          <w:szCs w:val="36"/>
        </w:rPr>
        <w:t xml:space="preserve">   </w:t>
      </w:r>
      <w:r>
        <w:rPr>
          <w:rFonts w:hint="eastAsia" w:eastAsia="黑体"/>
          <w:kern w:val="0"/>
          <w:sz w:val="36"/>
          <w:szCs w:val="36"/>
        </w:rPr>
        <w:t>门：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</w:rPr>
      </w:pPr>
      <w:r>
        <w:rPr>
          <w:rFonts w:hint="eastAsia" w:eastAsia="黑体"/>
          <w:kern w:val="0"/>
          <w:sz w:val="36"/>
          <w:szCs w:val="36"/>
        </w:rPr>
        <w:t>制    订：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课程负责人：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hint="eastAsia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专业双带头人：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hint="default" w:eastAsia="黑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kern w:val="0"/>
          <w:sz w:val="36"/>
          <w:szCs w:val="36"/>
          <w:u w:val="none"/>
          <w:lang w:val="en-US" w:eastAsia="zh-CN"/>
        </w:rPr>
        <w:t>二级学院院长：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spacing w:before="312" w:beforeLines="100"/>
        <w:ind w:firstLine="1080" w:firstLineChars="3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  <w:lang w:val="en-US" w:eastAsia="zh-CN"/>
        </w:rPr>
        <w:t>学校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u w:val="none"/>
          <w:lang w:val="en-US" w:eastAsia="zh-CN"/>
        </w:rPr>
        <w:t>专业建设指导委员会</w:t>
      </w:r>
      <w:r>
        <w:rPr>
          <w:rFonts w:hint="eastAsia" w:eastAsia="黑体"/>
          <w:kern w:val="0"/>
          <w:sz w:val="36"/>
          <w:szCs w:val="36"/>
        </w:rPr>
        <w:t>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        </w:t>
      </w: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>制订时间：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黑体"/>
          <w:kern w:val="0"/>
          <w:sz w:val="36"/>
          <w:szCs w:val="36"/>
          <w:u w:val="none"/>
        </w:rPr>
        <w:t>年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eastAsia="黑体"/>
          <w:kern w:val="0"/>
          <w:sz w:val="36"/>
          <w:szCs w:val="36"/>
          <w:u w:val="none"/>
        </w:rPr>
        <w:t>月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</w:p>
    <w:p>
      <w:pPr>
        <w:spacing w:before="312" w:beforeLines="100"/>
        <w:ind w:firstLine="1800" w:firstLineChars="500"/>
        <w:jc w:val="left"/>
        <w:outlineLvl w:val="9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>修订时间：</w:t>
      </w:r>
      <w:r>
        <w:rPr>
          <w:rFonts w:hint="eastAsia"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 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黑体"/>
          <w:kern w:val="0"/>
          <w:sz w:val="36"/>
          <w:szCs w:val="36"/>
          <w:u w:val="none"/>
        </w:rPr>
        <w:t>年</w:t>
      </w:r>
      <w:r>
        <w:rPr>
          <w:rFonts w:hint="eastAsia" w:eastAsia="黑体"/>
          <w:kern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eastAsia="黑体"/>
          <w:kern w:val="0"/>
          <w:sz w:val="36"/>
          <w:szCs w:val="36"/>
          <w:u w:val="none"/>
        </w:rPr>
        <w:t>月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</w:p>
    <w:p>
      <w:pPr>
        <w:spacing w:line="360" w:lineRule="auto"/>
        <w:ind w:firstLine="0" w:firstLineChars="0"/>
        <w:rPr>
          <w:rFonts w:hint="eastAsia" w:ascii="宋体" w:hAnsi="宋体"/>
        </w:rPr>
      </w:pPr>
    </w:p>
    <w:p>
      <w:pPr>
        <w:spacing w:line="360" w:lineRule="auto"/>
        <w:ind w:firstLine="480"/>
        <w:jc w:val="center"/>
        <w:rPr>
          <w:rFonts w:hint="eastAsia" w:ascii="宋体" w:hAnsi="宋体"/>
        </w:rPr>
      </w:pPr>
    </w:p>
    <w:p>
      <w:pPr>
        <w:ind w:firstLine="640"/>
        <w:jc w:val="center"/>
        <w:rPr>
          <w:rFonts w:eastAsia="黑体"/>
          <w:sz w:val="32"/>
          <w:szCs w:val="32"/>
        </w:rPr>
      </w:pPr>
    </w:p>
    <w:p>
      <w:pPr>
        <w:ind w:firstLine="640"/>
        <w:jc w:val="center"/>
        <w:rPr>
          <w:rFonts w:eastAsia="黑体"/>
          <w:sz w:val="32"/>
          <w:szCs w:val="32"/>
        </w:rPr>
      </w:pPr>
    </w:p>
    <w:p>
      <w:pPr>
        <w:jc w:val="both"/>
        <w:rPr>
          <w:rFonts w:eastAsia="黑体"/>
          <w:sz w:val="32"/>
          <w:szCs w:val="32"/>
        </w:rPr>
      </w:pPr>
    </w:p>
    <w:p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重庆</w:t>
      </w:r>
      <w:r>
        <w:rPr>
          <w:rFonts w:hint="eastAsia" w:eastAsia="黑体"/>
          <w:sz w:val="32"/>
          <w:szCs w:val="32"/>
        </w:rPr>
        <w:t>现代制造职业学院</w:t>
      </w:r>
      <w:r>
        <w:rPr>
          <w:rFonts w:eastAsia="黑体"/>
          <w:sz w:val="32"/>
          <w:szCs w:val="32"/>
        </w:rPr>
        <w:t xml:space="preserve"> 编印</w:t>
      </w:r>
    </w:p>
    <w:p/>
    <w:p>
      <w:pPr>
        <w:spacing w:line="360" w:lineRule="auto"/>
        <w:ind w:firstLineChars="0"/>
        <w:jc w:val="center"/>
        <w:rPr>
          <w:rFonts w:hint="eastAsia" w:ascii="宋体" w:hAnsi="宋体"/>
          <w:b/>
          <w:bCs/>
        </w:rPr>
      </w:pPr>
      <w:bookmarkStart w:id="0" w:name="_Toc13761"/>
      <w:bookmarkStart w:id="1" w:name="_Toc24404"/>
      <w:bookmarkStart w:id="2" w:name="_Toc31313"/>
      <w:r>
        <w:rPr>
          <w:rFonts w:ascii="黑体" w:hAnsi="黑体" w:eastAsia="黑体"/>
          <w:b/>
          <w:bCs/>
          <w:sz w:val="32"/>
          <w:szCs w:val="32"/>
          <w:lang w:val="zh-CN"/>
        </w:rPr>
        <w:t>目</w:t>
      </w:r>
      <w:r>
        <w:rPr>
          <w:rFonts w:hint="eastAsia" w:ascii="黑体" w:hAnsi="黑体" w:eastAsia="黑体"/>
          <w:b/>
          <w:bCs/>
          <w:sz w:val="32"/>
          <w:szCs w:val="32"/>
          <w:lang w:val="zh-CN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lang w:val="zh-CN"/>
        </w:rPr>
        <w:t>录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sz w:val="24"/>
          <w:szCs w:val="24"/>
          <w:shd w:val="clear" w:color="auto" w:fill="auto"/>
        </w:rPr>
        <w:fldChar w:fldCharType="begin"/>
      </w:r>
      <w:r>
        <w:rPr>
          <w:rFonts w:ascii="宋体" w:hAnsi="宋体"/>
          <w:sz w:val="24"/>
          <w:szCs w:val="24"/>
          <w:shd w:val="clear" w:color="auto" w:fill="auto"/>
        </w:rPr>
        <w:instrText xml:space="preserve"> TOC \o "1-3" \h \z \u </w:instrText>
      </w:r>
      <w:r>
        <w:rPr>
          <w:rFonts w:ascii="宋体" w:hAnsi="宋体"/>
          <w:sz w:val="24"/>
          <w:szCs w:val="24"/>
          <w:shd w:val="clear" w:color="auto" w:fill="auto"/>
        </w:rPr>
        <w:fldChar w:fldCharType="separate"/>
      </w:r>
      <w:r>
        <w:rPr>
          <w:rFonts w:ascii="宋体" w:hAnsi="宋体"/>
          <w:sz w:val="24"/>
          <w:szCs w:val="24"/>
          <w:shd w:val="clear" w:color="auto" w:fill="auto"/>
        </w:rPr>
        <w:fldChar w:fldCharType="begin"/>
      </w:r>
      <w:r>
        <w:rPr>
          <w:rFonts w:ascii="宋体" w:hAnsi="宋体"/>
          <w:sz w:val="24"/>
          <w:szCs w:val="24"/>
          <w:shd w:val="clear" w:color="auto" w:fill="auto"/>
        </w:rPr>
        <w:instrText xml:space="preserve"> HYPERLINK \l _Toc719 </w:instrText>
      </w:r>
      <w:r>
        <w:rPr>
          <w:rFonts w:ascii="宋体" w:hAnsi="宋体"/>
          <w:sz w:val="24"/>
          <w:szCs w:val="24"/>
          <w:shd w:val="clear" w:color="auto" w:fill="auto"/>
        </w:rPr>
        <w:fldChar w:fldCharType="separate"/>
      </w:r>
      <w:r>
        <w:rPr>
          <w:rFonts w:hint="eastAsia" w:ascii="宋体" w:hAnsi="宋体"/>
          <w:sz w:val="24"/>
          <w:szCs w:val="24"/>
        </w:rPr>
        <w:t>一、课程概述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_Toc719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  <w:shd w:val="clear" w:color="auto" w:fill="auto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_Toc6021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（一）课程基本信息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_Toc6021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_Toc31826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</w:rPr>
        <w:t>）课程性质与定位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_Toc31826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_Toc139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</w:rPr>
        <w:t>）课程基本教学理念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_Toc139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_Toc18865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-SA"/>
        </w:rPr>
        <w:t>（四）岗课对接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_Toc18865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_Toc25532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宋体"/>
          <w:bCs/>
          <w:kern w:val="2"/>
          <w:sz w:val="24"/>
          <w:szCs w:val="24"/>
          <w:lang w:val="en-US" w:eastAsia="zh-CN" w:bidi="ar-SA"/>
        </w:rPr>
        <w:t>（五）对接“1+X”证书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_Toc25532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_Toc4182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/>
          <w:sz w:val="24"/>
          <w:szCs w:val="24"/>
        </w:rPr>
        <w:t>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_Toc4182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_Toc18637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（一）知识目标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_Toc18637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_Toc6471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（二）能力目标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_Toc6471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_Toc23593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Cs/>
          <w:sz w:val="24"/>
          <w:szCs w:val="24"/>
        </w:rPr>
        <w:t>素质目标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_Toc23593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_Toc20674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可持续发展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_Toc20674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_Toc27822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学习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内容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_Toc27822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_Toc22387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（一）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bCs/>
          <w:sz w:val="24"/>
          <w:szCs w:val="24"/>
        </w:rPr>
        <w:t>方式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_Toc22387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_Toc6263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（二）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学习任务与工作内容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_Toc6263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_Toc23209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、课程实施保障条件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_Toc23209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_Toc10440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（一）实训条件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_Toc10440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_Toc21244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（二）教学团队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_Toc21244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_Toc24220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（三）学习资源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_Toc24220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_Toc1334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学习评价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_Toc1334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_Toc15464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（一）课程评价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_Toc15464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9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begin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instrText xml:space="preserve"> HYPERLINK \l _Toc16261 </w:instrText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（二）通过标准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_Toc16261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/>
          <w:bCs/>
          <w:sz w:val="28"/>
          <w:szCs w:val="28"/>
          <w:shd w:val="clear" w:color="FFFFFF" w:fill="D9D9D9"/>
          <w:lang w:val="zh-CN"/>
        </w:rPr>
      </w:pPr>
      <w:r>
        <w:rPr>
          <w:rFonts w:ascii="宋体" w:hAnsi="宋体"/>
          <w:bCs/>
          <w:sz w:val="24"/>
          <w:szCs w:val="24"/>
          <w:shd w:val="clear" w:color="auto" w:fill="auto"/>
          <w:lang w:val="zh-CN"/>
        </w:rPr>
        <w:fldChar w:fldCharType="end"/>
      </w: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snapToGrid w:val="0"/>
        <w:spacing w:line="360" w:lineRule="auto"/>
        <w:outlineLvl w:val="0"/>
        <w:rPr>
          <w:rFonts w:ascii="宋体" w:hAnsi="宋体"/>
          <w:b/>
          <w:sz w:val="36"/>
          <w:szCs w:val="36"/>
        </w:rPr>
      </w:pPr>
      <w:bookmarkStart w:id="3" w:name="_Toc719"/>
      <w:bookmarkStart w:id="24" w:name="_GoBack"/>
      <w:bookmarkEnd w:id="24"/>
      <w:r>
        <w:rPr>
          <w:rFonts w:hint="eastAsia" w:ascii="宋体" w:hAnsi="宋体"/>
          <w:b/>
          <w:sz w:val="36"/>
          <w:szCs w:val="36"/>
        </w:rPr>
        <w:t>一、课程概述</w:t>
      </w:r>
      <w:bookmarkEnd w:id="3"/>
    </w:p>
    <w:p>
      <w:pPr>
        <w:outlineLvl w:val="1"/>
        <w:rPr>
          <w:rFonts w:hint="eastAsia"/>
          <w:sz w:val="28"/>
          <w:szCs w:val="28"/>
          <w:lang w:val="en-US" w:eastAsia="zh-CN"/>
        </w:rPr>
      </w:pPr>
      <w:bookmarkStart w:id="4" w:name="_Toc6021"/>
      <w:r>
        <w:rPr>
          <w:rFonts w:hint="eastAsia"/>
          <w:sz w:val="28"/>
          <w:szCs w:val="28"/>
          <w:lang w:val="en-US" w:eastAsia="zh-CN"/>
        </w:rPr>
        <w:t>（一）课程基本信息</w:t>
      </w:r>
      <w:bookmarkEnd w:id="4"/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27"/>
        <w:gridCol w:w="2365"/>
        <w:gridCol w:w="1693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课程代码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开课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学院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课程名称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面向专业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学分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总学时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gridSpan w:val="2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理论学时</w:t>
            </w:r>
          </w:p>
        </w:tc>
        <w:tc>
          <w:tcPr>
            <w:tcW w:w="2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>学时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185" w:type="dxa"/>
            <w:gridSpan w:val="5"/>
            <w:shd w:val="clear" w:color="auto" w:fill="BDD6E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本课程与其它</w:t>
            </w:r>
            <w:r>
              <w:rPr>
                <w:color w:val="000000"/>
                <w:szCs w:val="21"/>
              </w:rPr>
              <w:t>课程</w:t>
            </w:r>
            <w:r>
              <w:rPr>
                <w:rFonts w:hint="eastAsia"/>
                <w:color w:val="000000"/>
                <w:szCs w:val="21"/>
              </w:rPr>
              <w:t>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前期课程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相互衔接和关联的知识点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平行课程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相互衔接和关联的知识点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后续课程</w:t>
            </w: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相互衔接和关联的知识点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7" w:type="dxa"/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pStyle w:val="2"/>
        <w:rPr>
          <w:rFonts w:ascii="宋体" w:hAnsi="宋体"/>
          <w:bCs/>
          <w:sz w:val="28"/>
          <w:szCs w:val="28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5" w:name="_Toc31826"/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）课程性质与定位</w:t>
      </w:r>
      <w:bookmarkEnd w:id="5"/>
    </w:p>
    <w:p>
      <w:pPr>
        <w:pStyle w:val="3"/>
        <w:ind w:firstLine="420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sz w:val="21"/>
          <w:szCs w:val="21"/>
        </w:rPr>
        <w:t>专业必修课、专业核心课、专业选修课等的描述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】【</w:t>
      </w:r>
      <w:r>
        <w:rPr>
          <w:rFonts w:hint="eastAsia" w:ascii="仿宋" w:hAnsi="仿宋" w:eastAsia="仿宋" w:cs="仿宋"/>
        </w:rPr>
        <w:t>理论课、理实一体课、实践课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6" w:name="_Toc139"/>
      <w:r>
        <w:rPr>
          <w:rFonts w:hint="eastAsia" w:ascii="宋体" w:hAnsi="宋体" w:eastAsia="宋体" w:cs="宋体"/>
          <w:b w:val="0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）课程基本教学理念</w:t>
      </w:r>
      <w:bookmarkEnd w:id="6"/>
    </w:p>
    <w:p>
      <w:pPr>
        <w:pStyle w:val="3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【</w:t>
      </w:r>
      <w:r>
        <w:rPr>
          <w:rFonts w:hint="eastAsia" w:ascii="仿宋" w:hAnsi="仿宋" w:eastAsia="仿宋" w:cs="仿宋"/>
          <w:sz w:val="21"/>
          <w:szCs w:val="21"/>
        </w:rPr>
        <w:t>包括教学设计理念和教学理念两个方面。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体现校企一体、</w:t>
      </w:r>
      <w:r>
        <w:rPr>
          <w:rFonts w:hint="eastAsia" w:ascii="仿宋" w:hAnsi="仿宋" w:eastAsia="仿宋" w:cs="仿宋"/>
          <w:sz w:val="21"/>
          <w:szCs w:val="21"/>
        </w:rPr>
        <w:t>突出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以学生为</w:t>
      </w:r>
      <w:r>
        <w:rPr>
          <w:rFonts w:hint="eastAsia" w:ascii="仿宋" w:hAnsi="仿宋" w:eastAsia="仿宋" w:cs="仿宋"/>
          <w:sz w:val="21"/>
          <w:szCs w:val="21"/>
        </w:rPr>
        <w:t>中心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教做学相结合。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】</w:t>
      </w:r>
    </w:p>
    <w:p>
      <w:pPr>
        <w:pStyle w:val="3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3"/>
        <w:numPr>
          <w:ilvl w:val="0"/>
          <w:numId w:val="1"/>
        </w:numPr>
        <w:outlineLvl w:val="1"/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7" w:name="_Toc18865"/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岗课对接（无对接岗位的可不填）</w:t>
      </w:r>
      <w:bookmarkEnd w:id="7"/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3"/>
        <w:numPr>
          <w:ilvl w:val="0"/>
          <w:numId w:val="1"/>
        </w:numPr>
        <w:ind w:left="0" w:leftChars="0" w:firstLine="0" w:firstLineChars="0"/>
        <w:outlineLvl w:val="1"/>
        <w:rPr>
          <w:rFonts w:hint="default" w:ascii="宋体" w:hAnsi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8" w:name="_Toc25532"/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对接“1+X”证书（无对接证书的课程可以不填）</w:t>
      </w:r>
      <w:bookmarkEnd w:id="8"/>
    </w:p>
    <w:p>
      <w:pPr>
        <w:pStyle w:val="3"/>
        <w:outlineLvl w:val="0"/>
        <w:rPr>
          <w:rFonts w:ascii="宋体" w:hAnsi="宋体"/>
          <w:b/>
          <w:sz w:val="44"/>
          <w:szCs w:val="44"/>
        </w:rPr>
      </w:pPr>
      <w:bookmarkStart w:id="9" w:name="_Toc4182"/>
      <w:r>
        <w:rPr>
          <w:rFonts w:hint="eastAsia" w:ascii="宋体" w:hAnsi="宋体"/>
          <w:b/>
          <w:sz w:val="44"/>
          <w:szCs w:val="44"/>
        </w:rPr>
        <w:t>二、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学习</w:t>
      </w:r>
      <w:r>
        <w:rPr>
          <w:rFonts w:hint="eastAsia" w:ascii="宋体" w:hAnsi="宋体"/>
          <w:b/>
          <w:sz w:val="44"/>
          <w:szCs w:val="44"/>
        </w:rPr>
        <w:t>目标</w:t>
      </w:r>
      <w:bookmarkEnd w:id="9"/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0" w:name="_Toc18637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（一）知识目标</w:t>
      </w:r>
      <w:bookmarkEnd w:id="1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1" w:name="_Toc6471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（二）能力目标</w:t>
      </w:r>
      <w:bookmarkEnd w:id="1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bookmarkStart w:id="12" w:name="_Toc23593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素质目标</w:t>
      </w:r>
      <w:bookmarkEnd w:id="12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体现课程思政、创新意识、科学文化素养、大国工匠精神等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13" w:name="_Toc20674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可持续发展</w:t>
      </w:r>
      <w:bookmarkEnd w:id="13"/>
    </w:p>
    <w:p>
      <w:pPr>
        <w:snapToGrid w:val="0"/>
        <w:spacing w:line="360" w:lineRule="auto"/>
        <w:rPr>
          <w:rFonts w:hint="eastAsia" w:ascii="宋体" w:hAnsi="宋体" w:eastAsia="宋体" w:cs="Times New Roman"/>
          <w:b/>
          <w:kern w:val="2"/>
          <w:sz w:val="52"/>
          <w:szCs w:val="52"/>
          <w:lang w:val="en-US" w:eastAsia="zh-CN" w:bidi="ar-SA"/>
        </w:rPr>
      </w:pPr>
    </w:p>
    <w:p>
      <w:pPr>
        <w:snapToGrid w:val="0"/>
        <w:spacing w:line="360" w:lineRule="auto"/>
        <w:outlineLvl w:val="0"/>
        <w:rPr>
          <w:rFonts w:hint="eastAsia" w:ascii="宋体" w:hAnsi="宋体" w:eastAsia="宋体" w:cs="Times New Roman"/>
          <w:b/>
          <w:kern w:val="2"/>
          <w:sz w:val="52"/>
          <w:szCs w:val="52"/>
          <w:lang w:val="en-US" w:eastAsia="zh-CN" w:bidi="ar-SA"/>
        </w:rPr>
      </w:pPr>
      <w:bookmarkStart w:id="14" w:name="_Toc27822"/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三、</w:t>
      </w:r>
      <w:r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  <w:t>学习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内容</w:t>
      </w:r>
      <w:bookmarkEnd w:id="1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15" w:name="_Toc22387"/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方式</w:t>
      </w:r>
      <w:bookmarkEnd w:id="1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sz w:val="21"/>
          <w:szCs w:val="21"/>
        </w:rPr>
        <w:t>线上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线下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混合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等等，体现校企一体、学生为中心、教学做结合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bookmarkStart w:id="16" w:name="_Toc6263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学习任务与工作内容</w:t>
      </w:r>
      <w:bookmarkEnd w:id="16"/>
    </w:p>
    <w:tbl>
      <w:tblPr>
        <w:tblStyle w:val="8"/>
        <w:tblW w:w="8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962"/>
        <w:gridCol w:w="1913"/>
        <w:gridCol w:w="1337"/>
        <w:gridCol w:w="1175"/>
        <w:gridCol w:w="1225"/>
        <w:gridCol w:w="8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6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模块</w:t>
            </w:r>
          </w:p>
        </w:tc>
        <w:tc>
          <w:tcPr>
            <w:tcW w:w="96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学习任务</w:t>
            </w: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  <w:r>
              <w:rPr>
                <w:rFonts w:ascii="宋体" w:hAnsi="宋体"/>
                <w:b/>
                <w:sz w:val="18"/>
                <w:szCs w:val="18"/>
              </w:rPr>
              <w:t>习内容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/>
                <w:b/>
                <w:sz w:val="18"/>
                <w:szCs w:val="18"/>
              </w:rPr>
              <w:t>工作任务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73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学习目标</w:t>
            </w:r>
          </w:p>
        </w:tc>
        <w:tc>
          <w:tcPr>
            <w:tcW w:w="821" w:type="dxa"/>
            <w:vMerge w:val="restart"/>
            <w:tcBorders>
              <w:top w:val="single" w:color="auto" w:sz="8" w:space="0"/>
              <w:lef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教学设计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63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1"/>
              <w:jc w:val="both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1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知识目标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能力目标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素质目标</w:t>
            </w:r>
          </w:p>
        </w:tc>
        <w:tc>
          <w:tcPr>
            <w:tcW w:w="821" w:type="dxa"/>
            <w:vMerge w:val="continue"/>
            <w:tcBorders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1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63" w:type="dxa"/>
            <w:tcBorders>
              <w:top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3" w:type="dxa"/>
            <w:tcBorders>
              <w:top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50"/>
        <w:rPr>
          <w:rFonts w:hint="eastAsia" w:ascii="宋体" w:hAnsi="宋体" w:cs="Times New Roman"/>
          <w:b/>
          <w:kern w:val="2"/>
          <w:sz w:val="52"/>
          <w:szCs w:val="52"/>
          <w:lang w:val="en-US" w:eastAsia="zh-CN" w:bidi="ar-SA"/>
        </w:rPr>
      </w:pPr>
    </w:p>
    <w:p>
      <w:pPr>
        <w:spacing w:line="360" w:lineRule="auto"/>
        <w:ind w:firstLine="450"/>
        <w:outlineLvl w:val="0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bookmarkStart w:id="17" w:name="_Toc23209"/>
      <w:r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  <w:t>四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、课程实施保障条件</w:t>
      </w:r>
      <w:bookmarkEnd w:id="17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18" w:name="_Toc1044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（一）实训条件</w:t>
      </w:r>
      <w:bookmarkEnd w:id="18"/>
    </w:p>
    <w:p>
      <w:pPr>
        <w:spacing w:line="360" w:lineRule="auto"/>
        <w:ind w:firstLine="450"/>
        <w:rPr>
          <w:rFonts w:hint="eastAsia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19" w:name="_Toc21244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（二）教学团队</w:t>
      </w:r>
      <w:bookmarkEnd w:id="19"/>
    </w:p>
    <w:p>
      <w:pPr>
        <w:numPr>
          <w:ilvl w:val="0"/>
          <w:numId w:val="0"/>
        </w:numPr>
        <w:spacing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lang w:val="en-US" w:eastAsia="zh-CN"/>
        </w:rPr>
        <w:t xml:space="preserve"> 构建一个校企“双元”的结构化团队，年龄结构、学源结构、特长优势结构（职称结构、技能等级结构）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0" w:name="_Toc2422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（三）学习资源</w:t>
      </w:r>
      <w:bookmarkEnd w:id="20"/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  <w:lang w:eastAsia="zh-CN"/>
        </w:rPr>
        <w:t>选用</w:t>
      </w:r>
      <w:r>
        <w:rPr>
          <w:rFonts w:hint="eastAsia"/>
          <w:sz w:val="24"/>
          <w:lang w:val="en-US" w:eastAsia="zh-CN"/>
        </w:rPr>
        <w:t>XXX主编的《XXX》“十X五”国家规划教材，出版社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2.体现校企一体的</w:t>
      </w:r>
      <w:r>
        <w:rPr>
          <w:rFonts w:hint="eastAsia"/>
          <w:sz w:val="24"/>
          <w:lang w:eastAsia="zh-CN"/>
        </w:rPr>
        <w:t>项目</w:t>
      </w:r>
      <w:r>
        <w:rPr>
          <w:rFonts w:hint="eastAsia"/>
          <w:sz w:val="24"/>
          <w:lang w:val="en-US" w:eastAsia="zh-CN"/>
        </w:rPr>
        <w:t>XX个</w:t>
      </w:r>
      <w:r>
        <w:rPr>
          <w:rFonts w:hint="eastAsia"/>
          <w:sz w:val="24"/>
          <w:lang w:eastAsia="zh-CN"/>
        </w:rPr>
        <w:t>，创建</w:t>
      </w:r>
      <w:r>
        <w:rPr>
          <w:rFonts w:hint="eastAsia"/>
          <w:sz w:val="24"/>
        </w:rPr>
        <w:t>案例库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3.体现校企一体、产教融合的</w:t>
      </w:r>
      <w:r>
        <w:rPr>
          <w:rFonts w:hint="eastAsia"/>
          <w:sz w:val="24"/>
          <w:lang w:eastAsia="zh-CN"/>
        </w:rPr>
        <w:t>教学案例</w:t>
      </w:r>
      <w:r>
        <w:rPr>
          <w:rFonts w:hint="eastAsia"/>
          <w:sz w:val="24"/>
          <w:lang w:val="en-US" w:eastAsia="zh-CN"/>
        </w:rPr>
        <w:t>XX个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45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  <w:lang w:eastAsia="zh-CN"/>
        </w:rPr>
        <w:t>配套开发</w:t>
      </w:r>
      <w:r>
        <w:rPr>
          <w:rFonts w:hint="eastAsia"/>
          <w:sz w:val="24"/>
          <w:lang w:val="en-US" w:eastAsia="zh-CN"/>
        </w:rPr>
        <w:t>体现校企一体的</w:t>
      </w:r>
      <w:r>
        <w:rPr>
          <w:rFonts w:hint="eastAsia"/>
          <w:sz w:val="24"/>
        </w:rPr>
        <w:t>活页式教材</w:t>
      </w:r>
      <w:r>
        <w:rPr>
          <w:rFonts w:hint="eastAsia"/>
          <w:sz w:val="24"/>
          <w:lang w:val="en-US" w:eastAsia="zh-CN"/>
        </w:rPr>
        <w:t>或手册式教材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4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  <w:lang w:eastAsia="zh-CN"/>
        </w:rPr>
        <w:t>课程资源平台（包含微课、慕课、视屏、虚拟现实等</w:t>
      </w:r>
      <w:r>
        <w:rPr>
          <w:rFonts w:hint="eastAsia"/>
          <w:sz w:val="24"/>
        </w:rPr>
        <w:t>数字化资源</w:t>
      </w:r>
      <w:r>
        <w:rPr>
          <w:rFonts w:hint="eastAsia"/>
          <w:sz w:val="24"/>
          <w:lang w:eastAsia="zh-CN"/>
        </w:rPr>
        <w:t>）</w:t>
      </w:r>
    </w:p>
    <w:p>
      <w:pPr>
        <w:snapToGrid w:val="0"/>
        <w:spacing w:line="360" w:lineRule="auto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line="360" w:lineRule="auto"/>
        <w:outlineLvl w:val="0"/>
        <w:rPr>
          <w:rFonts w:ascii="宋体" w:hAnsi="宋体"/>
          <w:b/>
          <w:sz w:val="44"/>
          <w:szCs w:val="44"/>
        </w:rPr>
      </w:pPr>
      <w:bookmarkStart w:id="21" w:name="_Toc1334"/>
      <w:r>
        <w:rPr>
          <w:rFonts w:hint="eastAsia" w:ascii="宋体" w:hAnsi="宋体"/>
          <w:b/>
          <w:sz w:val="44"/>
          <w:szCs w:val="44"/>
        </w:rPr>
        <w:t>五、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学习评价</w:t>
      </w:r>
      <w:bookmarkEnd w:id="2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2" w:name="_Toc15464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（一）课程评价</w:t>
      </w:r>
      <w:bookmarkEnd w:id="22"/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本课程从学习过程和学习结果两方面进行考核，并以过程性考核为主。过程性考核实施“做中考”评价，以调动学习积极性、使课程成绩评定更加合理。</w:t>
      </w:r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根据过程性考核结果，参照学生参与学习的热情、工作的态度、独立思考、勇于发言，综合分析问题和解决问题的能力，学习资料与工具携带情况，出勤率等多方面情况，综合评价学生的学习成绩。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23" w:name="_Toc16261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（二）通过标准</w:t>
      </w:r>
      <w:bookmarkEnd w:id="23"/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学习者达到了学习目标中所列的情感态度、知识与专业技能的要求，因私缺课不超过</w:t>
      </w:r>
      <w:r>
        <w:rPr>
          <w:rFonts w:ascii="宋体" w:hAnsi="宋体"/>
        </w:rPr>
        <w:t>10%</w:t>
      </w:r>
      <w:r>
        <w:rPr>
          <w:rFonts w:hint="eastAsia" w:ascii="宋体" w:hAnsi="宋体"/>
        </w:rPr>
        <w:t>（迟到早退3次视为缺课1次），工作任务完成度及格（D级）及其以上，综</w:t>
      </w:r>
      <w:r>
        <w:rPr>
          <w:rFonts w:ascii="宋体" w:hAnsi="宋体"/>
        </w:rPr>
        <w:t>合成绩及格</w:t>
      </w:r>
      <w:r>
        <w:rPr>
          <w:rFonts w:hint="eastAsia" w:ascii="宋体" w:hAnsi="宋体"/>
        </w:rPr>
        <w:t>及其</w:t>
      </w:r>
      <w:r>
        <w:rPr>
          <w:rFonts w:ascii="宋体" w:hAnsi="宋体"/>
        </w:rPr>
        <w:t>以上</w:t>
      </w:r>
      <w:r>
        <w:rPr>
          <w:rFonts w:hint="eastAsia" w:ascii="宋体" w:hAnsi="宋体"/>
        </w:rPr>
        <w:t>。</w:t>
      </w:r>
    </w:p>
    <w:p>
      <w:pPr>
        <w:snapToGrid w:val="0"/>
        <w:spacing w:line="360" w:lineRule="auto"/>
        <w:ind w:left="424" w:leftChars="202"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综</w:t>
      </w:r>
      <w:r>
        <w:rPr>
          <w:rFonts w:ascii="宋体" w:hAnsi="宋体"/>
        </w:rPr>
        <w:t>合成绩</w:t>
      </w:r>
      <w:r>
        <w:rPr>
          <w:rFonts w:hint="eastAsia" w:ascii="宋体" w:hAnsi="宋体"/>
        </w:rPr>
        <w:t>=60%做</w:t>
      </w:r>
      <w:r>
        <w:rPr>
          <w:rFonts w:ascii="宋体" w:hAnsi="宋体"/>
        </w:rPr>
        <w:t>中考成绩</w:t>
      </w:r>
      <w:r>
        <w:rPr>
          <w:rFonts w:hint="eastAsia" w:ascii="宋体" w:hAnsi="宋体"/>
        </w:rPr>
        <w:t>+40%期</w:t>
      </w:r>
      <w:r>
        <w:rPr>
          <w:rFonts w:ascii="宋体" w:hAnsi="宋体"/>
        </w:rPr>
        <w:t>末</w:t>
      </w:r>
      <w:r>
        <w:rPr>
          <w:rFonts w:hint="eastAsia" w:ascii="宋体" w:hAnsi="宋体"/>
        </w:rPr>
        <w:t>考试</w:t>
      </w:r>
      <w:r>
        <w:rPr>
          <w:rFonts w:ascii="宋体" w:hAnsi="宋体"/>
        </w:rPr>
        <w:t>成绩</w:t>
      </w:r>
      <w:r>
        <w:rPr>
          <w:rFonts w:hint="eastAsia" w:ascii="宋体" w:hAnsi="宋体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180EE"/>
    <w:multiLevelType w:val="singleLevel"/>
    <w:tmpl w:val="856180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C13678"/>
    <w:multiLevelType w:val="singleLevel"/>
    <w:tmpl w:val="73C1367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GZmODEwN2NmNGEzMDBhMjE0Mjk0MmExYjc3ZDcifQ=="/>
    <w:docVar w:name="KSO_WPS_MARK_KEY" w:val="b738de6a-6d48-4140-be45-19050a0fd42f"/>
  </w:docVars>
  <w:rsids>
    <w:rsidRoot w:val="00000000"/>
    <w:rsid w:val="03B47C65"/>
    <w:rsid w:val="067C5566"/>
    <w:rsid w:val="09AD113B"/>
    <w:rsid w:val="0FF64CB8"/>
    <w:rsid w:val="240F412C"/>
    <w:rsid w:val="28272836"/>
    <w:rsid w:val="2BB74013"/>
    <w:rsid w:val="2C504819"/>
    <w:rsid w:val="2C8357A4"/>
    <w:rsid w:val="341631E1"/>
    <w:rsid w:val="342D1890"/>
    <w:rsid w:val="36F4333E"/>
    <w:rsid w:val="380831E5"/>
    <w:rsid w:val="38096537"/>
    <w:rsid w:val="3A1C5ED4"/>
    <w:rsid w:val="3AA56EFA"/>
    <w:rsid w:val="3B4A77B5"/>
    <w:rsid w:val="45496D35"/>
    <w:rsid w:val="4F08161A"/>
    <w:rsid w:val="508B554A"/>
    <w:rsid w:val="60962537"/>
    <w:rsid w:val="6138132E"/>
    <w:rsid w:val="650155A1"/>
    <w:rsid w:val="6741147C"/>
    <w:rsid w:val="6BAA2625"/>
    <w:rsid w:val="74022E18"/>
    <w:rsid w:val="784F023C"/>
    <w:rsid w:val="78C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黑体"/>
      <w:sz w:val="28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1147</Words>
  <Characters>1174</Characters>
  <Lines>0</Lines>
  <Paragraphs>0</Paragraphs>
  <TotalTime>2</TotalTime>
  <ScaleCrop>false</ScaleCrop>
  <LinksUpToDate>false</LinksUpToDate>
  <CharactersWithSpaces>1361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2024-03-22T01:28:00Z</dcterms:created>
  <dc:creator>yd</dc:creator>
  <cp:lastModifiedBy>华妃娘娘的新欢</cp:lastModifiedBy>
  <dcterms:modified xsi:type="dcterms:W3CDTF">2024-06-03T06:46:21Z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81D687D073284358945B85BE800E4A08_12</vt:lpwstr>
  </property>
</Properties>
</file>