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875" w:type="dxa"/>
        <w:tblInd w:w="-1808" w:type="dxa"/>
        <w:tblBorders>
          <w:top w:val="single" w:sz="6" w:space="0" w:color="E5E5E5"/>
          <w:left w:val="single" w:sz="6" w:space="0" w:color="E5E5E5"/>
          <w:bottom w:val="single" w:sz="6" w:space="0" w:color="E5E5E5"/>
          <w:right w:val="single" w:sz="6" w:space="0" w:color="E5E5E5"/>
        </w:tblBorders>
        <w:shd w:val="clear" w:color="auto" w:fill="FFFFFF"/>
        <w:tblCellMar>
          <w:top w:w="15" w:type="dxa"/>
          <w:left w:w="15" w:type="dxa"/>
          <w:bottom w:w="15" w:type="dxa"/>
          <w:right w:w="15" w:type="dxa"/>
        </w:tblCellMar>
        <w:tblLook w:val="04A0" w:firstRow="1" w:lastRow="0" w:firstColumn="1" w:lastColumn="0" w:noHBand="0" w:noVBand="1"/>
      </w:tblPr>
      <w:tblGrid>
        <w:gridCol w:w="2014"/>
        <w:gridCol w:w="5035"/>
        <w:gridCol w:w="2014"/>
        <w:gridCol w:w="2899"/>
        <w:gridCol w:w="2014"/>
        <w:gridCol w:w="2899"/>
      </w:tblGrid>
      <w:tr w:rsidR="008B3BD4" w:rsidRPr="008B3BD4" w14:paraId="26887D8E" w14:textId="77777777" w:rsidTr="008C4833">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63E23845" w14:textId="77777777" w:rsidR="008B3BD4" w:rsidRPr="008B3BD4" w:rsidRDefault="008B3BD4" w:rsidP="008B3BD4">
            <w:pPr>
              <w:widowControl/>
              <w:jc w:val="center"/>
              <w:rPr>
                <w:rFonts w:ascii="微软雅黑" w:eastAsia="微软雅黑" w:hAnsi="微软雅黑" w:cs="宋体"/>
                <w:color w:val="333333"/>
                <w:kern w:val="0"/>
                <w:sz w:val="24"/>
                <w:szCs w:val="24"/>
              </w:rPr>
            </w:pPr>
            <w:r w:rsidRPr="008B3BD4">
              <w:rPr>
                <w:rFonts w:ascii="微软雅黑" w:eastAsia="微软雅黑" w:hAnsi="微软雅黑" w:cs="宋体" w:hint="eastAsia"/>
                <w:color w:val="333333"/>
                <w:kern w:val="0"/>
                <w:sz w:val="24"/>
                <w:szCs w:val="24"/>
              </w:rPr>
              <w:t>索引号：</w:t>
            </w:r>
          </w:p>
        </w:tc>
        <w:tc>
          <w:tcPr>
            <w:tcW w:w="5035"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7895A29A"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11500383MB1898297X/2021-00021</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1F8BF199"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发文字号：</w:t>
            </w:r>
          </w:p>
        </w:tc>
        <w:tc>
          <w:tcPr>
            <w:tcW w:w="7812" w:type="dxa"/>
            <w:gridSpan w:val="3"/>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56C0339A"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退役军人事务部等七部门关于全面做好退役士兵教育培训工作的指导意见</w:t>
            </w:r>
          </w:p>
        </w:tc>
      </w:tr>
      <w:tr w:rsidR="008B3BD4" w:rsidRPr="008B3BD4" w14:paraId="02D5D0E7" w14:textId="77777777" w:rsidTr="008C4833">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5D45658F"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发布机构：</w:t>
            </w:r>
          </w:p>
        </w:tc>
        <w:tc>
          <w:tcPr>
            <w:tcW w:w="5035"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4A5608E6"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永川区退役军人事务局</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61A0333F"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成文日期：</w:t>
            </w:r>
          </w:p>
        </w:tc>
        <w:tc>
          <w:tcPr>
            <w:tcW w:w="2899"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59DAF3F7"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2021-09-07</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3FCE4324"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发布日期：</w:t>
            </w:r>
          </w:p>
        </w:tc>
        <w:tc>
          <w:tcPr>
            <w:tcW w:w="2899"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66F291F2"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2021-09-13</w:t>
            </w:r>
          </w:p>
        </w:tc>
      </w:tr>
      <w:tr w:rsidR="008B3BD4" w:rsidRPr="008B3BD4" w14:paraId="2245C100" w14:textId="77777777" w:rsidTr="008C4833">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5FBBD52E"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标题：</w:t>
            </w:r>
          </w:p>
        </w:tc>
        <w:tc>
          <w:tcPr>
            <w:tcW w:w="14861" w:type="dxa"/>
            <w:gridSpan w:val="5"/>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43EE2672"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退役军人事务部等七部门关于全面做好退役士兵教育培训工作的指导意见</w:t>
            </w:r>
          </w:p>
        </w:tc>
      </w:tr>
      <w:tr w:rsidR="008B3BD4" w:rsidRPr="008B3BD4" w14:paraId="160EF781" w14:textId="77777777" w:rsidTr="008C4833">
        <w:trPr>
          <w:trHeight w:val="660"/>
        </w:trPr>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6909F1D1"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主题分类：</w:t>
            </w:r>
          </w:p>
        </w:tc>
        <w:tc>
          <w:tcPr>
            <w:tcW w:w="5035" w:type="dxa"/>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3D8ED071"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其他</w:t>
            </w:r>
          </w:p>
        </w:tc>
        <w:tc>
          <w:tcPr>
            <w:tcW w:w="2014" w:type="dxa"/>
            <w:tcBorders>
              <w:top w:val="single" w:sz="6" w:space="0" w:color="E5E5E5"/>
              <w:left w:val="single" w:sz="6" w:space="0" w:color="E5E5E5"/>
              <w:bottom w:val="single" w:sz="6" w:space="0" w:color="E5E5E5"/>
              <w:right w:val="single" w:sz="6" w:space="0" w:color="E5E5E5"/>
            </w:tcBorders>
            <w:shd w:val="clear" w:color="auto" w:fill="F2F2F2"/>
            <w:tcMar>
              <w:top w:w="0" w:type="dxa"/>
              <w:left w:w="0" w:type="dxa"/>
              <w:bottom w:w="0" w:type="dxa"/>
              <w:right w:w="0" w:type="dxa"/>
            </w:tcMar>
            <w:vAlign w:val="center"/>
            <w:hideMark/>
          </w:tcPr>
          <w:p w14:paraId="2ADF6002" w14:textId="77777777" w:rsidR="008B3BD4" w:rsidRPr="008B3BD4" w:rsidRDefault="008B3BD4" w:rsidP="008B3BD4">
            <w:pPr>
              <w:widowControl/>
              <w:jc w:val="center"/>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有效性：</w:t>
            </w:r>
          </w:p>
        </w:tc>
        <w:tc>
          <w:tcPr>
            <w:tcW w:w="7812" w:type="dxa"/>
            <w:gridSpan w:val="3"/>
            <w:tcBorders>
              <w:top w:val="single" w:sz="6" w:space="0" w:color="E5E5E5"/>
              <w:left w:val="single" w:sz="6" w:space="0" w:color="E5E5E5"/>
              <w:bottom w:val="single" w:sz="6" w:space="0" w:color="E5E5E5"/>
              <w:right w:val="single" w:sz="6" w:space="0" w:color="E5E5E5"/>
            </w:tcBorders>
            <w:shd w:val="clear" w:color="auto" w:fill="FFFFFF"/>
            <w:tcMar>
              <w:top w:w="0" w:type="dxa"/>
              <w:left w:w="300" w:type="dxa"/>
              <w:bottom w:w="0" w:type="dxa"/>
              <w:right w:w="150" w:type="dxa"/>
            </w:tcMar>
            <w:vAlign w:val="center"/>
            <w:hideMark/>
          </w:tcPr>
          <w:p w14:paraId="56730837" w14:textId="77777777" w:rsidR="008B3BD4" w:rsidRPr="008B3BD4" w:rsidRDefault="008B3BD4" w:rsidP="008B3BD4">
            <w:pPr>
              <w:widowControl/>
              <w:jc w:val="left"/>
              <w:rPr>
                <w:rFonts w:ascii="微软雅黑" w:eastAsia="微软雅黑" w:hAnsi="微软雅黑" w:cs="宋体" w:hint="eastAsia"/>
                <w:color w:val="333333"/>
                <w:kern w:val="0"/>
                <w:sz w:val="24"/>
                <w:szCs w:val="24"/>
              </w:rPr>
            </w:pPr>
            <w:r w:rsidRPr="008B3BD4">
              <w:rPr>
                <w:rFonts w:ascii="微软雅黑" w:eastAsia="微软雅黑" w:hAnsi="微软雅黑" w:cs="宋体" w:hint="eastAsia"/>
                <w:color w:val="333333"/>
                <w:kern w:val="0"/>
                <w:sz w:val="24"/>
                <w:szCs w:val="24"/>
              </w:rPr>
              <w:t>有效</w:t>
            </w:r>
          </w:p>
        </w:tc>
      </w:tr>
    </w:tbl>
    <w:p w14:paraId="5739DB51" w14:textId="77777777" w:rsidR="008B3BD4" w:rsidRPr="008B3BD4" w:rsidRDefault="008B3BD4" w:rsidP="008B3BD4">
      <w:pPr>
        <w:widowControl/>
        <w:shd w:val="clear" w:color="auto" w:fill="FFFFFF"/>
        <w:spacing w:after="225" w:line="560" w:lineRule="atLeast"/>
        <w:jc w:val="center"/>
        <w:textAlignment w:val="baseline"/>
        <w:rPr>
          <w:rFonts w:ascii="微软雅黑" w:eastAsia="微软雅黑" w:hAnsi="微软雅黑" w:cs="宋体" w:hint="eastAsia"/>
          <w:color w:val="333333"/>
          <w:kern w:val="0"/>
          <w:sz w:val="32"/>
          <w:szCs w:val="32"/>
        </w:rPr>
      </w:pPr>
      <w:r w:rsidRPr="008B3BD4">
        <w:rPr>
          <w:rFonts w:ascii="方正黑体_GBK" w:eastAsia="方正黑体_GBK" w:hAnsi="微软雅黑" w:cs="宋体" w:hint="eastAsia"/>
          <w:color w:val="333333"/>
          <w:kern w:val="0"/>
          <w:sz w:val="32"/>
          <w:szCs w:val="32"/>
        </w:rPr>
        <w:t>退役军人事务部等七部门关于全面做好退役士兵教育培训工作的指导意见</w:t>
      </w:r>
    </w:p>
    <w:p w14:paraId="619F88E4"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p>
    <w:p w14:paraId="40538432"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各省、自治区、直辖市退役军人事务厅（局）、教育厅（教委）、财政厅（局）、人力资源社会保障厅（局）、征兵办公室，新疆生产建设兵团退役军人事务局、教育局、财政局、人力资源社会保障局、征兵办公室，各战区联合参谋部、政治工作部，各军兵种参谋部（战勤部）、政治工作部，军委机关各部门办公厅（秘书局、综合局）、政治工作局，军事科学院科研部、政治工作部，国防大学教育训练部、政治工作部，国防科技大学教务处、政治工作处，武警部队参谋部、政治工作部，各省军区（卫戍区、警备区）：</w:t>
      </w:r>
    </w:p>
    <w:p w14:paraId="5F03452F"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退役士兵为国防和军队现代化建设</w:t>
      </w:r>
      <w:proofErr w:type="gramStart"/>
      <w:r w:rsidRPr="008B3BD4">
        <w:rPr>
          <w:rFonts w:ascii="Arial" w:eastAsia="微软雅黑" w:hAnsi="Arial" w:cs="Arial"/>
          <w:color w:val="333333"/>
          <w:kern w:val="0"/>
          <w:sz w:val="24"/>
          <w:szCs w:val="24"/>
        </w:rPr>
        <w:t>作出</w:t>
      </w:r>
      <w:proofErr w:type="gramEnd"/>
      <w:r w:rsidRPr="008B3BD4">
        <w:rPr>
          <w:rFonts w:ascii="Arial" w:eastAsia="微软雅黑" w:hAnsi="Arial" w:cs="Arial"/>
          <w:color w:val="333333"/>
          <w:kern w:val="0"/>
          <w:sz w:val="24"/>
          <w:szCs w:val="24"/>
        </w:rPr>
        <w:t>过重要贡献，是国家宝贵的人力资源。加强退役士兵教育培训工作，有利于促进退役士兵提升能力素质，有利于提高就业质量，有利于经济社会高质量发展，为全面建设社会主义现代化国家贡献新的力量。为贯彻《中华人民共和国退役军人保障法》，进一步做好退役士兵教育培训工作，现提出如下意见。</w:t>
      </w:r>
    </w:p>
    <w:p w14:paraId="1B81FFCE" w14:textId="77777777" w:rsidR="008B3BD4" w:rsidRPr="008B3BD4" w:rsidRDefault="008B3BD4" w:rsidP="008B3BD4">
      <w:pPr>
        <w:widowControl/>
        <w:shd w:val="clear" w:color="auto" w:fill="FFFFFF"/>
        <w:spacing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lastRenderedPageBreak/>
        <w:t xml:space="preserve">　</w:t>
      </w:r>
      <w:r w:rsidRPr="008B3BD4">
        <w:rPr>
          <w:rFonts w:ascii="Arial" w:eastAsia="微软雅黑" w:hAnsi="Arial" w:cs="Arial"/>
          <w:b/>
          <w:bCs/>
          <w:color w:val="333333"/>
          <w:kern w:val="0"/>
          <w:sz w:val="32"/>
          <w:szCs w:val="32"/>
          <w:bdr w:val="none" w:sz="0" w:space="0" w:color="auto" w:frame="1"/>
        </w:rPr>
        <w:t xml:space="preserve">　</w:t>
      </w:r>
      <w:r w:rsidRPr="008B3BD4">
        <w:rPr>
          <w:rFonts w:ascii="Arial" w:eastAsia="微软雅黑" w:hAnsi="Arial" w:cs="Arial"/>
          <w:b/>
          <w:bCs/>
          <w:color w:val="333333"/>
          <w:kern w:val="0"/>
          <w:sz w:val="24"/>
          <w:szCs w:val="24"/>
          <w:bdr w:val="none" w:sz="0" w:space="0" w:color="auto" w:frame="1"/>
        </w:rPr>
        <w:t>一、总体要求</w:t>
      </w:r>
    </w:p>
    <w:p w14:paraId="653F529B"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以习近平新时代中国特色社会主义思想为指导，全面贯彻党的十九大和十九届二中、三中、四中、五中全会精神，坚持政府主导、社会支持，面向退役军士和退役义务兵，建立包括适应性培训、职业技能培训、学历教育和终身学习的教育培训体系，促进退役士兵为经济社会建设更好服务。</w:t>
      </w:r>
    </w:p>
    <w:p w14:paraId="4950FD2B" w14:textId="77777777" w:rsidR="008B3BD4" w:rsidRPr="008B3BD4" w:rsidRDefault="008B3BD4" w:rsidP="008B3BD4">
      <w:pPr>
        <w:widowControl/>
        <w:shd w:val="clear" w:color="auto" w:fill="FFFFFF"/>
        <w:spacing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b/>
          <w:bCs/>
          <w:color w:val="333333"/>
          <w:kern w:val="0"/>
          <w:sz w:val="32"/>
          <w:szCs w:val="32"/>
          <w:bdr w:val="none" w:sz="0" w:space="0" w:color="auto" w:frame="1"/>
        </w:rPr>
        <w:t xml:space="preserve">　　</w:t>
      </w:r>
      <w:r w:rsidRPr="008B3BD4">
        <w:rPr>
          <w:rFonts w:ascii="Arial" w:eastAsia="微软雅黑" w:hAnsi="Arial" w:cs="Arial"/>
          <w:b/>
          <w:bCs/>
          <w:color w:val="333333"/>
          <w:kern w:val="0"/>
          <w:sz w:val="24"/>
          <w:szCs w:val="24"/>
          <w:bdr w:val="none" w:sz="0" w:space="0" w:color="auto" w:frame="1"/>
        </w:rPr>
        <w:t>二、普遍推行适应性培训</w:t>
      </w:r>
    </w:p>
    <w:p w14:paraId="430D33F0"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一）加强职业技能储备培训和离队前教育。军队做好面向现役士兵的教育培训，支持其在服役期间学习储备多种职业技能，取得更多职业技能等级证书；进一步完善退役士兵离队前教育工作。县级以上地方人民政府退役军人事务部门积极主动配合驻地部队按需开展</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送技能进军营</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、定期开展</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送政策进军营</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等活动，宣讲政策形势，加强择业指导，实现区域内驻军单位基本覆盖。</w:t>
      </w:r>
    </w:p>
    <w:p w14:paraId="6C8E4571"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二）实施即退即训。面向自主就业退役士兵开展适应性培训，帮助其尽快转变角色融入社会。培训工作由省（区、市）退役军人事务部门结合实际统筹安排，在自主就业退役士兵返乡报到后及时组织实施，培训时长不少于</w:t>
      </w:r>
      <w:r w:rsidRPr="008B3BD4">
        <w:rPr>
          <w:rFonts w:ascii="Arial" w:eastAsia="微软雅黑" w:hAnsi="Arial" w:cs="Arial"/>
          <w:color w:val="333333"/>
          <w:kern w:val="0"/>
          <w:sz w:val="24"/>
          <w:szCs w:val="24"/>
        </w:rPr>
        <w:t>80</w:t>
      </w:r>
      <w:r w:rsidRPr="008B3BD4">
        <w:rPr>
          <w:rFonts w:ascii="Arial" w:eastAsia="微软雅黑" w:hAnsi="Arial" w:cs="Arial"/>
          <w:color w:val="333333"/>
          <w:kern w:val="0"/>
          <w:sz w:val="24"/>
          <w:szCs w:val="24"/>
        </w:rPr>
        <w:t>学时。</w:t>
      </w:r>
    </w:p>
    <w:p w14:paraId="290AF64A"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三）确保培训实效。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采用</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互联网＋培训</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等多种教学手段，灵活安排教学，定期开展培训评估，确保教学效果。</w:t>
      </w:r>
    </w:p>
    <w:p w14:paraId="249740A3" w14:textId="77777777" w:rsidR="008B3BD4" w:rsidRPr="008B3BD4" w:rsidRDefault="008B3BD4" w:rsidP="008B3BD4">
      <w:pPr>
        <w:widowControl/>
        <w:shd w:val="clear" w:color="auto" w:fill="FFFFFF"/>
        <w:spacing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b/>
          <w:bCs/>
          <w:color w:val="333333"/>
          <w:kern w:val="0"/>
          <w:sz w:val="32"/>
          <w:szCs w:val="32"/>
          <w:bdr w:val="none" w:sz="0" w:space="0" w:color="auto" w:frame="1"/>
        </w:rPr>
        <w:lastRenderedPageBreak/>
        <w:t xml:space="preserve">　　</w:t>
      </w:r>
      <w:r w:rsidRPr="008B3BD4">
        <w:rPr>
          <w:rFonts w:ascii="Arial" w:eastAsia="微软雅黑" w:hAnsi="Arial" w:cs="Arial"/>
          <w:b/>
          <w:bCs/>
          <w:color w:val="333333"/>
          <w:kern w:val="0"/>
          <w:sz w:val="24"/>
          <w:szCs w:val="24"/>
          <w:bdr w:val="none" w:sz="0" w:space="0" w:color="auto" w:frame="1"/>
        </w:rPr>
        <w:t>三、全员开展职业技能培训</w:t>
      </w:r>
    </w:p>
    <w:p w14:paraId="59977931"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（四）优化培训模式。退役军人事务部门依托职业技能等级证书目录、职业技能培训机构目录中的机构面向自主就业退役士兵开展职业技能培训，实施学历证书＋若干职业技能等级证书制度（</w:t>
      </w:r>
      <w:r w:rsidRPr="008B3BD4">
        <w:rPr>
          <w:rFonts w:ascii="Arial" w:eastAsia="微软雅黑" w:hAnsi="Arial" w:cs="Arial"/>
          <w:color w:val="333333"/>
          <w:kern w:val="0"/>
          <w:sz w:val="24"/>
          <w:szCs w:val="24"/>
        </w:rPr>
        <w:t>1</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X</w:t>
      </w:r>
      <w:r w:rsidRPr="008B3BD4">
        <w:rPr>
          <w:rFonts w:ascii="Arial" w:eastAsia="微软雅黑" w:hAnsi="Arial" w:cs="Arial"/>
          <w:color w:val="333333"/>
          <w:kern w:val="0"/>
          <w:sz w:val="24"/>
          <w:szCs w:val="24"/>
        </w:rPr>
        <w:t>证书制度）和学分银行制度，建立学习成果认定、积累和转换机制。地方各级退役军人事务部门在省域内联网设立自主就业退役士兵</w:t>
      </w:r>
      <w:proofErr w:type="gramStart"/>
      <w:r w:rsidRPr="008B3BD4">
        <w:rPr>
          <w:rFonts w:ascii="Arial" w:eastAsia="微软雅黑" w:hAnsi="Arial" w:cs="Arial"/>
          <w:color w:val="333333"/>
          <w:kern w:val="0"/>
          <w:sz w:val="24"/>
          <w:szCs w:val="24"/>
        </w:rPr>
        <w:t>培训台</w:t>
      </w:r>
      <w:proofErr w:type="gramEnd"/>
      <w:r w:rsidRPr="008B3BD4">
        <w:rPr>
          <w:rFonts w:ascii="Arial" w:eastAsia="微软雅黑" w:hAnsi="Arial" w:cs="Arial"/>
          <w:color w:val="333333"/>
          <w:kern w:val="0"/>
          <w:sz w:val="24"/>
          <w:szCs w:val="24"/>
        </w:rPr>
        <w:t>账，加强对参训人员和教育培训经费的管理，制定培训资助标准，建立培训资金省级统筹机制，实现培训</w:t>
      </w:r>
      <w:proofErr w:type="gramStart"/>
      <w:r w:rsidRPr="008B3BD4">
        <w:rPr>
          <w:rFonts w:ascii="Arial" w:eastAsia="微软雅黑" w:hAnsi="Arial" w:cs="Arial"/>
          <w:color w:val="333333"/>
          <w:kern w:val="0"/>
          <w:sz w:val="24"/>
          <w:szCs w:val="24"/>
        </w:rPr>
        <w:t>待遇省</w:t>
      </w:r>
      <w:proofErr w:type="gramEnd"/>
      <w:r w:rsidRPr="008B3BD4">
        <w:rPr>
          <w:rFonts w:ascii="Arial" w:eastAsia="微软雅黑" w:hAnsi="Arial" w:cs="Arial"/>
          <w:color w:val="333333"/>
          <w:kern w:val="0"/>
          <w:sz w:val="24"/>
          <w:szCs w:val="24"/>
        </w:rPr>
        <w:t>域内通兑；依托现有资源统筹建立退役军人就业创业园地，发挥示范作用。鼓励各省（区、市）教育培训机构对接共享优质培训资源，促进自主就业退役士兵职业技能培训均衡化发展。自主就业退役士兵可在达到法定退休年龄前接受一次免费职业技能培训，按规定由各地退役军人事务部门、教育部</w:t>
      </w:r>
      <w:proofErr w:type="gramStart"/>
      <w:r w:rsidRPr="008B3BD4">
        <w:rPr>
          <w:rFonts w:ascii="Arial" w:eastAsia="微软雅黑" w:hAnsi="Arial" w:cs="Arial"/>
          <w:color w:val="333333"/>
          <w:kern w:val="0"/>
          <w:sz w:val="24"/>
          <w:szCs w:val="24"/>
        </w:rPr>
        <w:t>门选择</w:t>
      </w:r>
      <w:proofErr w:type="gramEnd"/>
      <w:r w:rsidRPr="008B3BD4">
        <w:rPr>
          <w:rFonts w:ascii="Arial" w:eastAsia="微软雅黑" w:hAnsi="Arial" w:cs="Arial"/>
          <w:color w:val="333333"/>
          <w:kern w:val="0"/>
          <w:sz w:val="24"/>
          <w:szCs w:val="24"/>
        </w:rPr>
        <w:t>实施</w:t>
      </w:r>
      <w:r w:rsidRPr="008B3BD4">
        <w:rPr>
          <w:rFonts w:ascii="Arial" w:eastAsia="微软雅黑" w:hAnsi="Arial" w:cs="Arial"/>
          <w:color w:val="333333"/>
          <w:kern w:val="0"/>
          <w:sz w:val="24"/>
          <w:szCs w:val="24"/>
        </w:rPr>
        <w:t>1</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X</w:t>
      </w:r>
      <w:r w:rsidRPr="008B3BD4">
        <w:rPr>
          <w:rFonts w:ascii="Arial" w:eastAsia="微软雅黑" w:hAnsi="Arial" w:cs="Arial"/>
          <w:color w:val="333333"/>
          <w:kern w:val="0"/>
          <w:sz w:val="24"/>
          <w:szCs w:val="24"/>
        </w:rPr>
        <w:t>证书制度且对接职业教育国家学分银行的职业院校及应用型本科高校作为培训基地开展培训，培训成果记入职业教育国家学分银行。自主就业退役士兵在培训基地学校以外的培训机构参加培训，可在退役军人事务部门、人力资源社会保障部门统筹下，按照规定程序和标准享受资助待遇。</w:t>
      </w:r>
    </w:p>
    <w:p w14:paraId="23112DAF"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（五）提高管理服务能力。对签约合作的承训单位按有关规定实施合同管理，建立健全激励约束机制，定期开展检查考核，提高培训质量。深化退役士兵职业技能培训工作</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放管服</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改革，提高服务效能。严格执行保密规定，确保退役士兵信息安全。结合培训项目实际，科学设定学时要求。推动军地有关部门建立军事专业与职业对应目录和军地职业技能证书衔接机制，对军事专业资格证书，地方可视作对应职业的同级技能证书，发挥同等效力，不再重新鉴定评价。</w:t>
      </w:r>
    </w:p>
    <w:p w14:paraId="65126717" w14:textId="77777777" w:rsidR="008B3BD4" w:rsidRPr="008B3BD4" w:rsidRDefault="008B3BD4" w:rsidP="008B3BD4">
      <w:pPr>
        <w:widowControl/>
        <w:shd w:val="clear" w:color="auto" w:fill="FFFFFF"/>
        <w:spacing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b/>
          <w:bCs/>
          <w:color w:val="333333"/>
          <w:kern w:val="0"/>
          <w:sz w:val="32"/>
          <w:szCs w:val="32"/>
          <w:bdr w:val="none" w:sz="0" w:space="0" w:color="auto" w:frame="1"/>
        </w:rPr>
        <w:lastRenderedPageBreak/>
        <w:t xml:space="preserve">　　</w:t>
      </w:r>
      <w:r w:rsidRPr="008B3BD4">
        <w:rPr>
          <w:rFonts w:ascii="Arial" w:eastAsia="微软雅黑" w:hAnsi="Arial" w:cs="Arial"/>
          <w:b/>
          <w:bCs/>
          <w:color w:val="333333"/>
          <w:kern w:val="0"/>
          <w:sz w:val="24"/>
          <w:szCs w:val="24"/>
          <w:bdr w:val="none" w:sz="0" w:space="0" w:color="auto" w:frame="1"/>
        </w:rPr>
        <w:t>四、全力支持提升学历</w:t>
      </w:r>
    </w:p>
    <w:p w14:paraId="0E09D95D"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六）支持从高校应征入伍士兵退役后复学深造。支持入伍前已被普通高等学校录取并保留入学资格或者保留学籍的退役士兵入学或复学，经学校同意并履行相关程序后可转入本校其他专业学习，免修公共体育、军事技能和军事理论等课程，直接获得相应课程学分，允许适当延长修业年限。高职（专科）</w:t>
      </w:r>
      <w:proofErr w:type="gramStart"/>
      <w:r w:rsidRPr="008B3BD4">
        <w:rPr>
          <w:rFonts w:ascii="Arial" w:eastAsia="微软雅黑" w:hAnsi="Arial" w:cs="Arial"/>
          <w:color w:val="333333"/>
          <w:kern w:val="0"/>
          <w:sz w:val="24"/>
          <w:szCs w:val="24"/>
        </w:rPr>
        <w:t>升普通</w:t>
      </w:r>
      <w:proofErr w:type="gramEnd"/>
      <w:r w:rsidRPr="008B3BD4">
        <w:rPr>
          <w:rFonts w:ascii="Arial" w:eastAsia="微软雅黑" w:hAnsi="Arial" w:cs="Arial"/>
          <w:color w:val="333333"/>
          <w:kern w:val="0"/>
          <w:sz w:val="24"/>
          <w:szCs w:val="24"/>
        </w:rPr>
        <w:t>本科、成人本科按规定免试入学。符合条件的退役大学生士兵参加全国硕士研究生招生考试按有关规定享受加分照顾。服役期间获二等功以上奖励，符合全国硕士研究生招生考试报考条件的退役士兵可申请免初试攻读硕士研究生。适度扩大</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退役大学生士兵</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专项硕士研究生招生计划规模。</w:t>
      </w:r>
    </w:p>
    <w:p w14:paraId="2AE48FDD"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（七）鼓励高中、初中学历退役士兵提升学历。退役士兵参加中职教</w:t>
      </w:r>
      <w:proofErr w:type="gramStart"/>
      <w:r w:rsidRPr="008B3BD4">
        <w:rPr>
          <w:rFonts w:ascii="Arial" w:eastAsia="微软雅黑" w:hAnsi="Arial" w:cs="Arial"/>
          <w:color w:val="333333"/>
          <w:kern w:val="0"/>
          <w:sz w:val="24"/>
          <w:szCs w:val="24"/>
        </w:rPr>
        <w:t>育实行</w:t>
      </w:r>
      <w:proofErr w:type="gramEnd"/>
      <w:r w:rsidRPr="008B3BD4">
        <w:rPr>
          <w:rFonts w:ascii="Arial" w:eastAsia="微软雅黑" w:hAnsi="Arial" w:cs="Arial"/>
          <w:color w:val="333333"/>
          <w:kern w:val="0"/>
          <w:sz w:val="24"/>
          <w:szCs w:val="24"/>
        </w:rPr>
        <w:t>注册免试入学；报考高职院校</w:t>
      </w:r>
      <w:proofErr w:type="gramStart"/>
      <w:r w:rsidRPr="008B3BD4">
        <w:rPr>
          <w:rFonts w:ascii="Arial" w:eastAsia="微软雅黑" w:hAnsi="Arial" w:cs="Arial"/>
          <w:color w:val="333333"/>
          <w:kern w:val="0"/>
          <w:sz w:val="24"/>
          <w:szCs w:val="24"/>
        </w:rPr>
        <w:t>免文化</w:t>
      </w:r>
      <w:proofErr w:type="gramEnd"/>
      <w:r w:rsidRPr="008B3BD4">
        <w:rPr>
          <w:rFonts w:ascii="Arial" w:eastAsia="微软雅黑" w:hAnsi="Arial" w:cs="Arial"/>
          <w:color w:val="333333"/>
          <w:kern w:val="0"/>
          <w:sz w:val="24"/>
          <w:szCs w:val="24"/>
        </w:rPr>
        <w:t>素质考试。符合条件的退役士兵参加全国普通高考、成人高考，按规定享受加分照顾。高等学校可按规定通过单列计划、单独招生等方式招考退役士兵。将退役士兵服役期间的学历教育和非学历教育学习成果按规定记入国家学分银行，实现退役前后学习成果贯通连续。建立健全行业教育合作机制，对适合退役士兵就业的行业，加大行业系统内院校招生力度，以专业教育促进退役士兵入行就业，努力实现</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入学即入职</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w:t>
      </w:r>
    </w:p>
    <w:p w14:paraId="1D6FEB47"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八）注重提升教学质量。退役军人事务部门可根据学费减免政策指导退役士兵按需报考。教育等部门按照国家有关规定，规范退役士兵培养过程，将教学成效作为重要因素纳入院校考核评优的指标体系。培养院校要设计符合退役士兵特点的人才培养方案，采用地方订单定向培养等方式，严把教学质量和教育纪律关口，在学业考核上对退役士兵和其他在校生</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同大纲、同标准</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w:t>
      </w:r>
    </w:p>
    <w:p w14:paraId="69A1BC09" w14:textId="77777777" w:rsidR="008B3BD4" w:rsidRPr="008B3BD4" w:rsidRDefault="008B3BD4" w:rsidP="008B3BD4">
      <w:pPr>
        <w:widowControl/>
        <w:shd w:val="clear" w:color="auto" w:fill="FFFFFF"/>
        <w:spacing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b/>
          <w:bCs/>
          <w:color w:val="333333"/>
          <w:kern w:val="0"/>
          <w:sz w:val="32"/>
          <w:szCs w:val="32"/>
          <w:bdr w:val="none" w:sz="0" w:space="0" w:color="auto" w:frame="1"/>
        </w:rPr>
        <w:lastRenderedPageBreak/>
        <w:t xml:space="preserve">　　</w:t>
      </w:r>
      <w:r w:rsidRPr="008B3BD4">
        <w:rPr>
          <w:rFonts w:ascii="Arial" w:eastAsia="微软雅黑" w:hAnsi="Arial" w:cs="Arial"/>
          <w:b/>
          <w:bCs/>
          <w:color w:val="333333"/>
          <w:kern w:val="0"/>
          <w:sz w:val="24"/>
          <w:szCs w:val="24"/>
          <w:bdr w:val="none" w:sz="0" w:space="0" w:color="auto" w:frame="1"/>
        </w:rPr>
        <w:t>五、开展终身教育培训</w:t>
      </w:r>
    </w:p>
    <w:p w14:paraId="7CB79CC7"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九）实行职业生涯全过程培训。将退役士兵培训纳入国家终身职业技能培训制度体系。以职业素养提升、技术更新、技能等级晋升为培养目标，鼓励用人单位定期组织退役士兵参加岗位技能提升和知识更新培训，拓展职业上升空间。退役军人事务部门依托就业企业合作签约机制，支持合作企业为受聘退役士兵提供多渠道、多层级、多频次的教育培训。紧紧围绕服务乡村振兴、打造</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双创</w:t>
      </w:r>
      <w:r w:rsidRPr="008B3BD4">
        <w:rPr>
          <w:rFonts w:ascii="Arial" w:eastAsia="微软雅黑" w:hAnsi="Arial" w:cs="Arial"/>
          <w:color w:val="333333"/>
          <w:kern w:val="0"/>
          <w:sz w:val="24"/>
          <w:szCs w:val="24"/>
        </w:rPr>
        <w:t>”</w:t>
      </w:r>
      <w:r w:rsidRPr="008B3BD4">
        <w:rPr>
          <w:rFonts w:ascii="Arial" w:eastAsia="微软雅黑" w:hAnsi="Arial" w:cs="Arial"/>
          <w:color w:val="333333"/>
          <w:kern w:val="0"/>
          <w:sz w:val="24"/>
          <w:szCs w:val="24"/>
        </w:rPr>
        <w:t>升级版等国家战略，开展退役士兵创业培训。</w:t>
      </w:r>
    </w:p>
    <w:p w14:paraId="2B0673A2"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（十）建设全国退役士兵网络学习平台。依托现有资源，集成网络教学、信息推送、职业能力倾向测试、</w:t>
      </w:r>
      <w:proofErr w:type="gramStart"/>
      <w:r w:rsidRPr="008B3BD4">
        <w:rPr>
          <w:rFonts w:ascii="Arial" w:eastAsia="微软雅黑" w:hAnsi="Arial" w:cs="Arial"/>
          <w:color w:val="333333"/>
          <w:kern w:val="0"/>
          <w:sz w:val="24"/>
          <w:szCs w:val="24"/>
        </w:rPr>
        <w:t>学习台</w:t>
      </w:r>
      <w:proofErr w:type="gramEnd"/>
      <w:r w:rsidRPr="008B3BD4">
        <w:rPr>
          <w:rFonts w:ascii="Arial" w:eastAsia="微软雅黑" w:hAnsi="Arial" w:cs="Arial"/>
          <w:color w:val="333333"/>
          <w:kern w:val="0"/>
          <w:sz w:val="24"/>
          <w:szCs w:val="24"/>
        </w:rPr>
        <w:t>账登记、统计分析等功能，为退役士兵在线参加适应性培训、职业技能培训、学历教育和终身教育培训提供平台支撑。建立政府引导、多方参与的资源共建共享机制，鼓励各类教育培训机构在网络学习平台面向退役士兵发布优质课程、开展线上培训、实施教学管理，提升培训效能。</w:t>
      </w:r>
    </w:p>
    <w:p w14:paraId="318ED2B6" w14:textId="77777777" w:rsidR="008B3BD4" w:rsidRPr="008B3BD4" w:rsidRDefault="008B3BD4" w:rsidP="008B3BD4">
      <w:pPr>
        <w:widowControl/>
        <w:shd w:val="clear" w:color="auto" w:fill="FFFFFF"/>
        <w:spacing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b/>
          <w:bCs/>
          <w:color w:val="333333"/>
          <w:kern w:val="0"/>
          <w:sz w:val="32"/>
          <w:szCs w:val="32"/>
          <w:bdr w:val="none" w:sz="0" w:space="0" w:color="auto" w:frame="1"/>
        </w:rPr>
        <w:t xml:space="preserve">　　</w:t>
      </w:r>
      <w:r w:rsidRPr="008B3BD4">
        <w:rPr>
          <w:rFonts w:ascii="Arial" w:eastAsia="微软雅黑" w:hAnsi="Arial" w:cs="Arial"/>
          <w:b/>
          <w:bCs/>
          <w:color w:val="333333"/>
          <w:kern w:val="0"/>
          <w:sz w:val="24"/>
          <w:szCs w:val="24"/>
          <w:bdr w:val="none" w:sz="0" w:space="0" w:color="auto" w:frame="1"/>
        </w:rPr>
        <w:t>六、加强组织领导</w:t>
      </w:r>
    </w:p>
    <w:p w14:paraId="4F36672F"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（十一）强化协同发力。各地区、各部门要进一步提高政治站位，高度重视退役士兵教育培训工作，多</w:t>
      </w:r>
      <w:proofErr w:type="gramStart"/>
      <w:r w:rsidRPr="008B3BD4">
        <w:rPr>
          <w:rFonts w:ascii="Arial" w:eastAsia="微软雅黑" w:hAnsi="Arial" w:cs="Arial"/>
          <w:color w:val="333333"/>
          <w:kern w:val="0"/>
          <w:sz w:val="24"/>
          <w:szCs w:val="24"/>
        </w:rPr>
        <w:t>措</w:t>
      </w:r>
      <w:proofErr w:type="gramEnd"/>
      <w:r w:rsidRPr="008B3BD4">
        <w:rPr>
          <w:rFonts w:ascii="Arial" w:eastAsia="微软雅黑" w:hAnsi="Arial" w:cs="Arial"/>
          <w:color w:val="333333"/>
          <w:kern w:val="0"/>
          <w:sz w:val="24"/>
          <w:szCs w:val="24"/>
        </w:rPr>
        <w:t>并举，抓出实效。建立</w:t>
      </w:r>
      <w:proofErr w:type="gramStart"/>
      <w:r w:rsidRPr="008B3BD4">
        <w:rPr>
          <w:rFonts w:ascii="Arial" w:eastAsia="微软雅黑" w:hAnsi="Arial" w:cs="Arial"/>
          <w:color w:val="333333"/>
          <w:kern w:val="0"/>
          <w:sz w:val="24"/>
          <w:szCs w:val="24"/>
        </w:rPr>
        <w:t>健全部门</w:t>
      </w:r>
      <w:proofErr w:type="gramEnd"/>
      <w:r w:rsidRPr="008B3BD4">
        <w:rPr>
          <w:rFonts w:ascii="Arial" w:eastAsia="微软雅黑" w:hAnsi="Arial" w:cs="Arial"/>
          <w:color w:val="333333"/>
          <w:kern w:val="0"/>
          <w:sz w:val="24"/>
          <w:szCs w:val="24"/>
        </w:rPr>
        <w:t>间协调机制，退役军人事务部门统筹协调，相关部门各司其职、协调配合，统筹规划退役士兵教育培训工作。推动实现区域间协调联动，依托乡村振兴和区域一体化发展，对接共享优质教育培训资源。各地区结合实际，由教育等部门研究制定落实退役士兵终身教育培训政策的具体措施，建立年度报告、检查和评估机制。</w:t>
      </w:r>
    </w:p>
    <w:p w14:paraId="75215275"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lastRenderedPageBreak/>
        <w:t xml:space="preserve">　　（十二）优化经费保障。自</w:t>
      </w:r>
      <w:r w:rsidRPr="008B3BD4">
        <w:rPr>
          <w:rFonts w:ascii="Arial" w:eastAsia="微软雅黑" w:hAnsi="Arial" w:cs="Arial"/>
          <w:color w:val="333333"/>
          <w:kern w:val="0"/>
          <w:sz w:val="24"/>
          <w:szCs w:val="24"/>
        </w:rPr>
        <w:t>2019</w:t>
      </w:r>
      <w:r w:rsidRPr="008B3BD4">
        <w:rPr>
          <w:rFonts w:ascii="Arial" w:eastAsia="微软雅黑" w:hAnsi="Arial" w:cs="Arial"/>
          <w:color w:val="333333"/>
          <w:kern w:val="0"/>
          <w:sz w:val="24"/>
          <w:szCs w:val="24"/>
        </w:rPr>
        <w:t>年秋季学期起，对通过全国统一高考或高职分类招考方式考入普通高等学校的全日制在校自主就业退役士兵学生均实行学费减免，减免最高限额按规定标准执行；全日制在校退役士兵学生全部享受本专科生国家助学金。退役士兵参加全日制中等职业教育的，按规定享受中等职业教育国家奖助学金和免学费政策。</w:t>
      </w:r>
    </w:p>
    <w:p w14:paraId="1A655149"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自主就业退役士兵适应性培训、职业技能培训经费可通过退役安置补助经费列支。地方财政要加强退役士兵教育培训经费保障，制定经费管理办法，提高资金使用效率。中央财政合理确定补助标准。有条件的地区在经费方面可对参战、军龄长、有立功受奖表现、所学技能多等级高的退役士兵学员适当倾斜，退役士兵各项教育培训经费按现有渠道拨付。</w:t>
      </w:r>
    </w:p>
    <w:p w14:paraId="3BEC1DE2"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（十三）</w:t>
      </w:r>
      <w:proofErr w:type="gramStart"/>
      <w:r w:rsidRPr="008B3BD4">
        <w:rPr>
          <w:rFonts w:ascii="Arial" w:eastAsia="微软雅黑" w:hAnsi="Arial" w:cs="Arial"/>
          <w:color w:val="333333"/>
          <w:kern w:val="0"/>
          <w:sz w:val="24"/>
          <w:szCs w:val="24"/>
        </w:rPr>
        <w:t>明确部门</w:t>
      </w:r>
      <w:proofErr w:type="gramEnd"/>
      <w:r w:rsidRPr="008B3BD4">
        <w:rPr>
          <w:rFonts w:ascii="Arial" w:eastAsia="微软雅黑" w:hAnsi="Arial" w:cs="Arial"/>
          <w:color w:val="333333"/>
          <w:kern w:val="0"/>
          <w:sz w:val="24"/>
          <w:szCs w:val="24"/>
        </w:rPr>
        <w:t>职责。退役军人事务部门负责退役士兵教育培训工作的协调推动；教育、人力资源社会保障等有关部门做好退役士兵招生录取、教学管理、技能鉴定评价、数据共享等工作；财政部门负责按规定落实退役士兵教育培训相关经费保障；军队有关部门负责组织实施士兵服役期间继续教育、离队前教育和退役后教育培训档案材料移交等工作，协同地方有关部门促进退役士兵军地技能证书有效衔接转换。</w:t>
      </w:r>
    </w:p>
    <w:p w14:paraId="6C434210"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十四）注重宣传引导。要创新宣传方式，充分运用各类新闻媒体，采取灵活多样形式，做好退役士兵教育培训工作的宣讲普及，提升相关政策影响力和知晓度。鼓励自主就业退役士兵在返乡报到和就业前的窗口期尽早参加职业技能培训。广泛开展各类交流活动，展示退役士兵参加教育培训成果，提高教育培训工作的吸引力。强化典型引领，积极宣传各地区、各部门开展退役士兵</w:t>
      </w:r>
      <w:r w:rsidRPr="008B3BD4">
        <w:rPr>
          <w:rFonts w:ascii="Arial" w:eastAsia="微软雅黑" w:hAnsi="Arial" w:cs="Arial"/>
          <w:color w:val="333333"/>
          <w:kern w:val="0"/>
          <w:sz w:val="24"/>
          <w:szCs w:val="24"/>
        </w:rPr>
        <w:lastRenderedPageBreak/>
        <w:t>教育培训、提高服务质量的经验与成效，营造支持和服务退役士兵教育培训的良好环境。</w:t>
      </w:r>
    </w:p>
    <w:p w14:paraId="6B4A4D48" w14:textId="77777777" w:rsidR="008B3BD4" w:rsidRPr="008B3BD4" w:rsidRDefault="008B3BD4" w:rsidP="008B3BD4">
      <w:pPr>
        <w:widowControl/>
        <w:shd w:val="clear" w:color="auto" w:fill="FFFFFF"/>
        <w:spacing w:after="225" w:line="560" w:lineRule="atLeast"/>
        <w:jc w:val="left"/>
        <w:textAlignment w:val="baseline"/>
        <w:rPr>
          <w:rFonts w:ascii="微软雅黑" w:eastAsia="微软雅黑" w:hAnsi="微软雅黑" w:cs="宋体" w:hint="eastAsia"/>
          <w:color w:val="333333"/>
          <w:kern w:val="0"/>
          <w:sz w:val="24"/>
          <w:szCs w:val="24"/>
        </w:rPr>
      </w:pPr>
    </w:p>
    <w:p w14:paraId="1C83AB89" w14:textId="65EF0553" w:rsidR="008B3BD4" w:rsidRPr="008B3BD4" w:rsidRDefault="008B3BD4" w:rsidP="008B3BD4">
      <w:pPr>
        <w:widowControl/>
        <w:shd w:val="clear" w:color="auto" w:fill="FFFFFF"/>
        <w:spacing w:after="225" w:line="560" w:lineRule="atLeast"/>
        <w:jc w:val="righ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退役军人事务部</w:t>
      </w:r>
      <w:r>
        <w:rPr>
          <w:rFonts w:ascii="Arial" w:eastAsia="微软雅黑" w:hAnsi="Arial" w:cs="Arial" w:hint="eastAsia"/>
          <w:color w:val="333333"/>
          <w:kern w:val="0"/>
          <w:sz w:val="24"/>
          <w:szCs w:val="24"/>
        </w:rPr>
        <w:t xml:space="preserve"> </w:t>
      </w:r>
      <w:r>
        <w:rPr>
          <w:rFonts w:ascii="Arial" w:eastAsia="微软雅黑" w:hAnsi="Arial" w:cs="Arial"/>
          <w:color w:val="333333"/>
          <w:kern w:val="0"/>
          <w:sz w:val="24"/>
          <w:szCs w:val="24"/>
        </w:rPr>
        <w:t xml:space="preserve">         </w:t>
      </w:r>
      <w:proofErr w:type="gramStart"/>
      <w:r w:rsidRPr="008B3BD4">
        <w:rPr>
          <w:rFonts w:ascii="Arial" w:eastAsia="微软雅黑" w:hAnsi="Arial" w:cs="Arial"/>
          <w:color w:val="333333"/>
          <w:kern w:val="0"/>
          <w:sz w:val="24"/>
          <w:szCs w:val="24"/>
        </w:rPr>
        <w:t xml:space="preserve">教　　</w:t>
      </w:r>
      <w:r>
        <w:rPr>
          <w:rFonts w:ascii="Arial" w:eastAsia="微软雅黑" w:hAnsi="Arial" w:cs="Arial" w:hint="eastAsia"/>
          <w:color w:val="333333"/>
          <w:kern w:val="0"/>
          <w:sz w:val="24"/>
          <w:szCs w:val="24"/>
        </w:rPr>
        <w:t xml:space="preserve"> </w:t>
      </w:r>
      <w:r>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xml:space="preserve">育　　</w:t>
      </w:r>
      <w:proofErr w:type="gramEnd"/>
      <w:r>
        <w:rPr>
          <w:rFonts w:ascii="Arial" w:eastAsia="微软雅黑" w:hAnsi="Arial" w:cs="Arial" w:hint="eastAsia"/>
          <w:color w:val="333333"/>
          <w:kern w:val="0"/>
          <w:sz w:val="24"/>
          <w:szCs w:val="24"/>
        </w:rPr>
        <w:t xml:space="preserve"> </w:t>
      </w:r>
      <w:r w:rsidRPr="008B3BD4">
        <w:rPr>
          <w:rFonts w:ascii="Arial" w:eastAsia="微软雅黑" w:hAnsi="Arial" w:cs="Arial"/>
          <w:color w:val="333333"/>
          <w:kern w:val="0"/>
          <w:sz w:val="24"/>
          <w:szCs w:val="24"/>
        </w:rPr>
        <w:t>部</w:t>
      </w:r>
    </w:p>
    <w:p w14:paraId="02585B4C" w14:textId="582B888F" w:rsidR="008B3BD4" w:rsidRPr="008B3BD4" w:rsidRDefault="008B3BD4" w:rsidP="008B3BD4">
      <w:pPr>
        <w:widowControl/>
        <w:shd w:val="clear" w:color="auto" w:fill="FFFFFF"/>
        <w:spacing w:after="225" w:line="560" w:lineRule="atLeast"/>
        <w:jc w:val="righ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xml:space="preserve"> </w:t>
      </w:r>
      <w:proofErr w:type="gramStart"/>
      <w:r w:rsidRPr="008B3BD4">
        <w:rPr>
          <w:rFonts w:ascii="Arial" w:eastAsia="微软雅黑" w:hAnsi="Arial" w:cs="Arial"/>
          <w:color w:val="333333"/>
          <w:kern w:val="0"/>
          <w:sz w:val="24"/>
          <w:szCs w:val="24"/>
        </w:rPr>
        <w:t xml:space="preserve">财　　</w:t>
      </w:r>
      <w:proofErr w:type="gramEnd"/>
      <w:r w:rsidRPr="008B3BD4">
        <w:rPr>
          <w:rFonts w:ascii="Arial" w:eastAsia="微软雅黑" w:hAnsi="Arial" w:cs="Arial"/>
          <w:color w:val="333333"/>
          <w:kern w:val="0"/>
          <w:sz w:val="24"/>
          <w:szCs w:val="24"/>
        </w:rPr>
        <w:t>政　　部</w:t>
      </w:r>
      <w:r w:rsidRPr="008B3BD4">
        <w:rPr>
          <w:rFonts w:ascii="Arial" w:eastAsia="微软雅黑" w:hAnsi="Arial" w:cs="Arial"/>
          <w:color w:val="333333"/>
          <w:kern w:val="0"/>
          <w:sz w:val="24"/>
          <w:szCs w:val="24"/>
        </w:rPr>
        <w:t> </w:t>
      </w: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w:t>
      </w: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xml:space="preserve">　　人力资源社会保障部</w:t>
      </w:r>
    </w:p>
    <w:p w14:paraId="12B332C0" w14:textId="1DAC2D6D" w:rsidR="008B3BD4" w:rsidRPr="008B3BD4" w:rsidRDefault="008B3BD4" w:rsidP="008B3BD4">
      <w:pPr>
        <w:widowControl/>
        <w:shd w:val="clear" w:color="auto" w:fill="FFFFFF"/>
        <w:spacing w:after="225" w:line="560" w:lineRule="atLeast"/>
        <w:jc w:val="righ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中央军委政治工作部　　</w:t>
      </w:r>
      <w:proofErr w:type="gramStart"/>
      <w:r w:rsidRPr="008B3BD4">
        <w:rPr>
          <w:rFonts w:ascii="Arial" w:eastAsia="微软雅黑" w:hAnsi="Arial" w:cs="Arial"/>
          <w:color w:val="333333"/>
          <w:kern w:val="0"/>
          <w:sz w:val="24"/>
          <w:szCs w:val="24"/>
        </w:rPr>
        <w:t xml:space="preserve">　</w:t>
      </w:r>
      <w:proofErr w:type="gramEnd"/>
      <w:r w:rsidRPr="008B3BD4">
        <w:rPr>
          <w:rFonts w:ascii="Arial" w:eastAsia="微软雅黑" w:hAnsi="Arial" w:cs="Arial"/>
          <w:color w:val="333333"/>
          <w:kern w:val="0"/>
          <w:sz w:val="24"/>
          <w:szCs w:val="24"/>
        </w:rPr>
        <w:t>中央军委训练管理部</w:t>
      </w:r>
    </w:p>
    <w:p w14:paraId="7FAEB5CF" w14:textId="77777777" w:rsidR="008B3BD4" w:rsidRPr="008B3BD4" w:rsidRDefault="008B3BD4" w:rsidP="008B3BD4">
      <w:pPr>
        <w:widowControl/>
        <w:shd w:val="clear" w:color="auto" w:fill="FFFFFF"/>
        <w:spacing w:after="225" w:line="560" w:lineRule="atLeast"/>
        <w:jc w:val="righ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w:t>
      </w: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w:t>
      </w: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 </w:t>
      </w: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中央军委国防动员部</w:t>
      </w:r>
    </w:p>
    <w:p w14:paraId="6C81B0AC" w14:textId="77777777" w:rsidR="008B3BD4" w:rsidRPr="008B3BD4" w:rsidRDefault="008B3BD4" w:rsidP="008B3BD4">
      <w:pPr>
        <w:widowControl/>
        <w:shd w:val="clear" w:color="auto" w:fill="FFFFFF"/>
        <w:spacing w:after="225" w:line="560" w:lineRule="atLeast"/>
        <w:jc w:val="right"/>
        <w:textAlignment w:val="baseline"/>
        <w:rPr>
          <w:rFonts w:ascii="微软雅黑" w:eastAsia="微软雅黑" w:hAnsi="微软雅黑" w:cs="宋体" w:hint="eastAsia"/>
          <w:color w:val="333333"/>
          <w:kern w:val="0"/>
          <w:sz w:val="24"/>
          <w:szCs w:val="24"/>
        </w:rPr>
      </w:pPr>
      <w:r w:rsidRPr="008B3BD4">
        <w:rPr>
          <w:rFonts w:ascii="Arial" w:eastAsia="微软雅黑" w:hAnsi="Arial" w:cs="Arial"/>
          <w:color w:val="333333"/>
          <w:kern w:val="0"/>
          <w:sz w:val="24"/>
          <w:szCs w:val="24"/>
        </w:rPr>
        <w:t xml:space="preserve">　　</w:t>
      </w:r>
      <w:r w:rsidRPr="008B3BD4">
        <w:rPr>
          <w:rFonts w:ascii="Arial" w:eastAsia="微软雅黑" w:hAnsi="Arial" w:cs="Arial"/>
          <w:color w:val="333333"/>
          <w:kern w:val="0"/>
          <w:sz w:val="24"/>
          <w:szCs w:val="24"/>
        </w:rPr>
        <w:t>2021</w:t>
      </w:r>
      <w:r w:rsidRPr="008B3BD4">
        <w:rPr>
          <w:rFonts w:ascii="Arial" w:eastAsia="微软雅黑" w:hAnsi="Arial" w:cs="Arial"/>
          <w:color w:val="333333"/>
          <w:kern w:val="0"/>
          <w:sz w:val="24"/>
          <w:szCs w:val="24"/>
        </w:rPr>
        <w:t>年</w:t>
      </w:r>
      <w:r w:rsidRPr="008B3BD4">
        <w:rPr>
          <w:rFonts w:ascii="Arial" w:eastAsia="微软雅黑" w:hAnsi="Arial" w:cs="Arial"/>
          <w:color w:val="333333"/>
          <w:kern w:val="0"/>
          <w:sz w:val="24"/>
          <w:szCs w:val="24"/>
        </w:rPr>
        <w:t>9</w:t>
      </w:r>
      <w:r w:rsidRPr="008B3BD4">
        <w:rPr>
          <w:rFonts w:ascii="Arial" w:eastAsia="微软雅黑" w:hAnsi="Arial" w:cs="Arial"/>
          <w:color w:val="333333"/>
          <w:kern w:val="0"/>
          <w:sz w:val="24"/>
          <w:szCs w:val="24"/>
        </w:rPr>
        <w:t>月</w:t>
      </w:r>
      <w:r w:rsidRPr="008B3BD4">
        <w:rPr>
          <w:rFonts w:ascii="Arial" w:eastAsia="微软雅黑" w:hAnsi="Arial" w:cs="Arial"/>
          <w:color w:val="333333"/>
          <w:kern w:val="0"/>
          <w:sz w:val="24"/>
          <w:szCs w:val="24"/>
        </w:rPr>
        <w:t>7</w:t>
      </w:r>
      <w:r w:rsidRPr="008B3BD4">
        <w:rPr>
          <w:rFonts w:ascii="Arial" w:eastAsia="微软雅黑" w:hAnsi="Arial" w:cs="Arial"/>
          <w:color w:val="333333"/>
          <w:kern w:val="0"/>
          <w:sz w:val="24"/>
          <w:szCs w:val="24"/>
        </w:rPr>
        <w:t>日</w:t>
      </w:r>
    </w:p>
    <w:p w14:paraId="4137B811" w14:textId="77777777" w:rsidR="00C14498" w:rsidRDefault="00C14498"/>
    <w:sectPr w:rsidR="00C14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9E65" w14:textId="77777777" w:rsidR="000718A8" w:rsidRDefault="000718A8" w:rsidP="008B3BD4">
      <w:r>
        <w:separator/>
      </w:r>
    </w:p>
  </w:endnote>
  <w:endnote w:type="continuationSeparator" w:id="0">
    <w:p w14:paraId="4B000406" w14:textId="77777777" w:rsidR="000718A8" w:rsidRDefault="000718A8" w:rsidP="008B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BA02" w14:textId="77777777" w:rsidR="000718A8" w:rsidRDefault="000718A8" w:rsidP="008B3BD4">
      <w:r>
        <w:separator/>
      </w:r>
    </w:p>
  </w:footnote>
  <w:footnote w:type="continuationSeparator" w:id="0">
    <w:p w14:paraId="138D38C9" w14:textId="77777777" w:rsidR="000718A8" w:rsidRDefault="000718A8" w:rsidP="008B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94"/>
    <w:rsid w:val="000718A8"/>
    <w:rsid w:val="00314556"/>
    <w:rsid w:val="008B3BD4"/>
    <w:rsid w:val="008C4833"/>
    <w:rsid w:val="009D5794"/>
    <w:rsid w:val="00C14498"/>
    <w:rsid w:val="00CD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0292"/>
  <w15:chartTrackingRefBased/>
  <w15:docId w15:val="{6CE17B23-BD2A-4C37-867A-1EC4844A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55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145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
    <w:basedOn w:val="1"/>
    <w:next w:val="2"/>
    <w:link w:val="12"/>
    <w:qFormat/>
    <w:rsid w:val="00314556"/>
    <w:pPr>
      <w:widowControl/>
      <w:spacing w:line="594" w:lineRule="atLeast"/>
      <w:jc w:val="center"/>
    </w:pPr>
    <w:rPr>
      <w:rFonts w:ascii="方正小标宋_GBK" w:eastAsia="方正小标宋_GBK" w:hAnsi="方正小标宋_GBK" w:cs="方正仿宋_GBK"/>
      <w:b w:val="0"/>
      <w:bCs w:val="0"/>
    </w:rPr>
  </w:style>
  <w:style w:type="character" w:customStyle="1" w:styleId="12">
    <w:name w:val="样式1 字符"/>
    <w:basedOn w:val="10"/>
    <w:link w:val="11"/>
    <w:rsid w:val="00314556"/>
    <w:rPr>
      <w:rFonts w:ascii="方正小标宋_GBK" w:eastAsia="方正小标宋_GBK" w:hAnsi="方正小标宋_GBK" w:cs="方正仿宋_GBK"/>
      <w:b w:val="0"/>
      <w:bCs w:val="0"/>
      <w:kern w:val="44"/>
      <w:sz w:val="44"/>
      <w:szCs w:val="44"/>
    </w:rPr>
  </w:style>
  <w:style w:type="paragraph" w:styleId="a3">
    <w:name w:val="Title"/>
    <w:basedOn w:val="a"/>
    <w:next w:val="a"/>
    <w:link w:val="a4"/>
    <w:uiPriority w:val="10"/>
    <w:qFormat/>
    <w:rsid w:val="00CD4A7C"/>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D4A7C"/>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14556"/>
    <w:rPr>
      <w:b/>
      <w:bCs/>
      <w:kern w:val="44"/>
      <w:sz w:val="44"/>
      <w:szCs w:val="44"/>
    </w:rPr>
  </w:style>
  <w:style w:type="character" w:customStyle="1" w:styleId="20">
    <w:name w:val="标题 2 字符"/>
    <w:basedOn w:val="a0"/>
    <w:link w:val="2"/>
    <w:uiPriority w:val="9"/>
    <w:semiHidden/>
    <w:rsid w:val="00314556"/>
    <w:rPr>
      <w:rFonts w:asciiTheme="majorHAnsi" w:eastAsiaTheme="majorEastAsia" w:hAnsiTheme="majorHAnsi" w:cstheme="majorBidi"/>
      <w:b/>
      <w:bCs/>
      <w:sz w:val="32"/>
      <w:szCs w:val="32"/>
    </w:rPr>
  </w:style>
  <w:style w:type="paragraph" w:customStyle="1" w:styleId="21">
    <w:name w:val="样式2"/>
    <w:basedOn w:val="2"/>
    <w:next w:val="a"/>
    <w:link w:val="22"/>
    <w:qFormat/>
    <w:rsid w:val="00314556"/>
    <w:pPr>
      <w:widowControl/>
      <w:spacing w:line="594" w:lineRule="atLeast"/>
      <w:jc w:val="center"/>
    </w:pPr>
    <w:rPr>
      <w:rFonts w:ascii="方正黑体_GBK" w:eastAsia="方正黑体_GBK" w:hAnsiTheme="minorEastAsia" w:cs="方正仿宋_GBK"/>
    </w:rPr>
  </w:style>
  <w:style w:type="character" w:customStyle="1" w:styleId="22">
    <w:name w:val="样式2 字符"/>
    <w:basedOn w:val="20"/>
    <w:link w:val="21"/>
    <w:rsid w:val="00314556"/>
    <w:rPr>
      <w:rFonts w:ascii="方正黑体_GBK" w:eastAsia="方正黑体_GBK" w:hAnsiTheme="minorEastAsia" w:cs="方正仿宋_GBK"/>
      <w:b/>
      <w:bCs/>
      <w:sz w:val="32"/>
      <w:szCs w:val="32"/>
    </w:rPr>
  </w:style>
  <w:style w:type="paragraph" w:customStyle="1" w:styleId="3">
    <w:name w:val="样式3"/>
    <w:basedOn w:val="a"/>
    <w:link w:val="30"/>
    <w:qFormat/>
    <w:rsid w:val="00314556"/>
    <w:pPr>
      <w:widowControl/>
      <w:spacing w:line="594" w:lineRule="atLeast"/>
      <w:ind w:firstLine="629"/>
    </w:pPr>
    <w:rPr>
      <w:rFonts w:ascii="方正楷体_GBK" w:eastAsia="方正楷体_GBK" w:hAnsi="方正仿宋_GBK" w:cs="方正仿宋_GBK"/>
      <w:kern w:val="0"/>
      <w:sz w:val="32"/>
      <w:szCs w:val="32"/>
    </w:rPr>
  </w:style>
  <w:style w:type="character" w:customStyle="1" w:styleId="30">
    <w:name w:val="样式3 字符"/>
    <w:basedOn w:val="a0"/>
    <w:link w:val="3"/>
    <w:rsid w:val="00314556"/>
    <w:rPr>
      <w:rFonts w:ascii="方正楷体_GBK" w:eastAsia="方正楷体_GBK" w:hAnsi="方正仿宋_GBK" w:cs="方正仿宋_GBK"/>
      <w:kern w:val="0"/>
      <w:sz w:val="32"/>
      <w:szCs w:val="32"/>
    </w:rPr>
  </w:style>
  <w:style w:type="paragraph" w:customStyle="1" w:styleId="4">
    <w:name w:val="样式4"/>
    <w:basedOn w:val="a"/>
    <w:link w:val="40"/>
    <w:qFormat/>
    <w:rsid w:val="00314556"/>
    <w:pPr>
      <w:widowControl/>
      <w:spacing w:line="594" w:lineRule="atLeast"/>
      <w:ind w:firstLineChars="200" w:firstLine="640"/>
    </w:pPr>
    <w:rPr>
      <w:rFonts w:ascii="方正仿宋_GBK" w:eastAsia="方正仿宋_GBK" w:hAnsiTheme="minorEastAsia" w:cs="方正仿宋_GBK"/>
      <w:sz w:val="32"/>
      <w:szCs w:val="32"/>
    </w:rPr>
  </w:style>
  <w:style w:type="character" w:customStyle="1" w:styleId="40">
    <w:name w:val="样式4 字符"/>
    <w:basedOn w:val="a0"/>
    <w:link w:val="4"/>
    <w:rsid w:val="00314556"/>
    <w:rPr>
      <w:rFonts w:ascii="方正仿宋_GBK" w:eastAsia="方正仿宋_GBK" w:hAnsiTheme="minorEastAsia" w:cs="方正仿宋_GBK"/>
      <w:sz w:val="32"/>
      <w:szCs w:val="32"/>
    </w:rPr>
  </w:style>
  <w:style w:type="paragraph" w:styleId="a5">
    <w:name w:val="header"/>
    <w:basedOn w:val="a"/>
    <w:link w:val="a6"/>
    <w:uiPriority w:val="99"/>
    <w:unhideWhenUsed/>
    <w:rsid w:val="008B3BD4"/>
    <w:pPr>
      <w:tabs>
        <w:tab w:val="center" w:pos="4153"/>
        <w:tab w:val="right" w:pos="8306"/>
      </w:tabs>
      <w:snapToGrid w:val="0"/>
      <w:jc w:val="center"/>
    </w:pPr>
    <w:rPr>
      <w:sz w:val="18"/>
      <w:szCs w:val="18"/>
    </w:rPr>
  </w:style>
  <w:style w:type="character" w:customStyle="1" w:styleId="a6">
    <w:name w:val="页眉 字符"/>
    <w:basedOn w:val="a0"/>
    <w:link w:val="a5"/>
    <w:uiPriority w:val="99"/>
    <w:rsid w:val="008B3BD4"/>
    <w:rPr>
      <w:sz w:val="18"/>
      <w:szCs w:val="18"/>
    </w:rPr>
  </w:style>
  <w:style w:type="paragraph" w:styleId="a7">
    <w:name w:val="footer"/>
    <w:basedOn w:val="a"/>
    <w:link w:val="a8"/>
    <w:uiPriority w:val="99"/>
    <w:unhideWhenUsed/>
    <w:rsid w:val="008B3BD4"/>
    <w:pPr>
      <w:tabs>
        <w:tab w:val="center" w:pos="4153"/>
        <w:tab w:val="right" w:pos="8306"/>
      </w:tabs>
      <w:snapToGrid w:val="0"/>
      <w:jc w:val="left"/>
    </w:pPr>
    <w:rPr>
      <w:sz w:val="18"/>
      <w:szCs w:val="18"/>
    </w:rPr>
  </w:style>
  <w:style w:type="character" w:customStyle="1" w:styleId="a8">
    <w:name w:val="页脚 字符"/>
    <w:basedOn w:val="a0"/>
    <w:link w:val="a7"/>
    <w:uiPriority w:val="99"/>
    <w:rsid w:val="008B3BD4"/>
    <w:rPr>
      <w:sz w:val="18"/>
      <w:szCs w:val="18"/>
    </w:rPr>
  </w:style>
  <w:style w:type="paragraph" w:styleId="a9">
    <w:name w:val="Normal (Web)"/>
    <w:basedOn w:val="a"/>
    <w:uiPriority w:val="99"/>
    <w:semiHidden/>
    <w:unhideWhenUsed/>
    <w:rsid w:val="008B3BD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8B3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67374">
      <w:bodyDiv w:val="1"/>
      <w:marLeft w:val="0"/>
      <w:marRight w:val="0"/>
      <w:marTop w:val="0"/>
      <w:marBottom w:val="0"/>
      <w:divBdr>
        <w:top w:val="none" w:sz="0" w:space="0" w:color="auto"/>
        <w:left w:val="none" w:sz="0" w:space="0" w:color="auto"/>
        <w:bottom w:val="none" w:sz="0" w:space="0" w:color="auto"/>
        <w:right w:val="none" w:sz="0" w:space="0" w:color="auto"/>
      </w:divBdr>
      <w:divsChild>
        <w:div w:id="1188984992">
          <w:marLeft w:val="0"/>
          <w:marRight w:val="0"/>
          <w:marTop w:val="0"/>
          <w:marBottom w:val="0"/>
          <w:divBdr>
            <w:top w:val="none" w:sz="0" w:space="0" w:color="auto"/>
            <w:left w:val="none" w:sz="0" w:space="0" w:color="auto"/>
            <w:bottom w:val="none" w:sz="0" w:space="0" w:color="auto"/>
            <w:right w:val="none" w:sz="0" w:space="0" w:color="auto"/>
          </w:divBdr>
          <w:divsChild>
            <w:div w:id="1293441856">
              <w:marLeft w:val="0"/>
              <w:marRight w:val="0"/>
              <w:marTop w:val="0"/>
              <w:marBottom w:val="0"/>
              <w:divBdr>
                <w:top w:val="none" w:sz="0" w:space="0" w:color="auto"/>
                <w:left w:val="none" w:sz="0" w:space="0" w:color="auto"/>
                <w:bottom w:val="none" w:sz="0" w:space="0" w:color="auto"/>
                <w:right w:val="none" w:sz="0" w:space="0" w:color="auto"/>
              </w:divBdr>
              <w:divsChild>
                <w:div w:id="15492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4</cp:revision>
  <dcterms:created xsi:type="dcterms:W3CDTF">2024-01-09T09:08:00Z</dcterms:created>
  <dcterms:modified xsi:type="dcterms:W3CDTF">2024-01-09T09:09:00Z</dcterms:modified>
</cp:coreProperties>
</file>