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各学院（部）教学工作考核暂行办法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了进一步深化教学改革，提高各二级学院（部）教学管理水平和质量，建立科学规范的教学管理工作评价体系，调动各二级学院（部）教学管理的积极性与主动性，全面提高学院的教育教学水平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一、指导思想与原则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二级学院（部）教学工作的考核评价遵循教育规律，结合学院实际，坚持以考核促建设、以考核促管理、以考核促改进、重在建设的指导思想，充分调动各二级学院（部）教学工作的积极性、主动性和创造性，促进教学工作健康、有序地进行，切实提高各二级学院（部）教学工作的质量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各二级学院（部）教学工作考核评价坚持客观、公正、公平的原则，实行过程和效果相结合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定性考核与定量考核相结合；科学性与导向性相结合的方法，合理利用必要的行政和经济手段，引入竞争和激励机制，逐步推进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教学工作的规范化、制度化和科学化，以适应新世纪对高等教育的发展要求。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（一）学院成立二级学院（部）教学工作考核领导小组，组长由主管院领导担任，成员由有关职能部门和教学部门领导组成。考核办公室设在教务处，负责考核资料的收集、整理和汇总等日常工作。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（二）教学工作考核领导小组负责二级学院（部）考核的具体实施。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（一）各二级学院（部）教学工作考核分为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建设与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改革、教学管理与教学效果、专业建设三个方面。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（二）各二级学院（部）教学工作的考核采用量化的方式，结果以百分制表示。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（三）各二级学院（部）除考核体系中的内容外，可根据二级学院（部）的特色项目提出加分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特色主要体现在教育教学上的特色，包含有：人才培养模式、教学模式、课程体系、教学改革、实践环节等。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（四）根据考评结果和特色项目，由学院教学工作考核领导小组做出考核结论，上报学院考核领导小组。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各二级学院（部）教学工作考核评价工作每年进行一次，按自然年度进行考核，具体考核时间以学院的通知为准。首先由各二级学院（部）按照考核评价办法规定的考核评价内容和要求，进行相关材料的准备，写出自评报告并提供有关支撑材料，然后由学院教学考核领导小组按照《重庆现代制造职业学院院（部）教学工作考核指标体系》查阅有关支撑资料，给出评价结果，报学院领导审批后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建有专业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的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在考核时如遇缺项，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该项记为0分；未有专业的二级学院取该项全校的平均分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五、考核结果运用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教学工作考核结果作为学院对各二级学院（部）综合考核的重要依据。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本办法由教务处负责解释，未尽事宜协商解决，经院长办公会议审议通过后自发布之日起执行。</w:t>
      </w:r>
    </w:p>
    <w:p>
      <w:pPr>
        <w:spacing w:line="40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楷体_GB2312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重庆现代制造职业学院院（部）教学工作考核指标体系</w:t>
      </w:r>
    </w:p>
    <w:p>
      <w:pPr>
        <w:spacing w:line="5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XX年度考评指标评分标准</w:t>
      </w:r>
    </w:p>
    <w:p>
      <w:pPr>
        <w:spacing w:line="2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4"/>
        <w:gridCol w:w="831"/>
        <w:gridCol w:w="3187"/>
        <w:gridCol w:w="2621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tblHeader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指标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指标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指标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指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标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内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涵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评分细则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w w:val="90"/>
                <w:szCs w:val="21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2-1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课程建设、教学内容与课程体系改革及实施（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1.5)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课程建设与课程改革有规划和措施，有分析和总结。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(0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有规划和措施计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分，有分析和总结计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课程标准符合人才培养规格要求、教案符合有关规定。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本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  <w:lang w:eastAsia="zh-CN"/>
              </w:rPr>
              <w:t>二级学院（部）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所涉课程的课程标准全部进行了修订计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分，少一门扣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分，扣完为止。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教务处提供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专业课程应根据技术领域和职业岗位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群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的任职要求，参照相关的职业资格标准，科学设置课程体系，优化、整合选择教学内容。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将职业资格标准纳入教学内容，体现了职业岗位的任职要求。有体现计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查人才培养方案，抽查教案。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教材建设有计划、有措施、有成效，特别重视与行业企业共同开发紧密结合生产实际的实训教材。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有计划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分，有与行业企业共同开发的实训教材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有校企合作开发或建设的专业（核心）课程。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有教材计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分、无教材不计分。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使用规定的规划教材。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按要求、准时选定教材记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分；错选、漏选计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教务处提供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3．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重视课件、教案、习题、案例等优质教学资源和网络信息资源的建设与利用，实现优质教学资源的共享。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有资源并利用计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分，有资源但利用不好减半计分。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精品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精品开放课程建设有规划。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有规划计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积极做好精品开放课程建设，有院级及以上项目及成果。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有一项以上院级精品课程计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分；新申报院级精品课程计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分；获得院级精品课程立项加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分。获市级精品课程加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教务处提供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2-2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教学方法和手段改革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法改革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专业核心课程采用“教、学、做”一体的情境教学方法。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专业核心课程采用“教、学、做”一体的情境教学方法计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查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人才培养方案，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教案、听课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人才培养模式改革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各专业应有符合专业特点的人才培养模式，并用简洁的语言凝炼成型。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人才培养模式特点鲜明计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分，一般计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段改革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积极推广计算机辅助教学、多媒体教学技术、虚拟技术等现代信息技术进行模拟教学扩大课堂教学的信息量，提高教学效率。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每门课程均制作了多媒体课件计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分，缺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门扣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分，扣完为止。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查教案、督导组听课记录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考试考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核方式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改革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各专业应有个性化的考核评价方式。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考核方式符合专业或课程特点计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按教学计划规定开设的必修课程，要逐步实施教考分离，工作有计划、有措施。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工作有计划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分、有措施计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分；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实践教学内容与体系更新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学体系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实践教学纳入课程体系的整体设计中，理论教学与实训、实习内容密切结合，实践类课时占总教学时间的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50%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以上。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实践教学纳入课程体系的整体设计中，实践类课时占总教学时间的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50%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以上计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spacing w:val="-2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pacing w:val="-2"/>
                <w:w w:val="90"/>
                <w:szCs w:val="21"/>
              </w:rPr>
              <w:t>查看人才培养方案、教学计划、教案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行业、企业专家参与教学方案设计，并参与教学全过程。各实践教学环节教学要求明确，有工作计划和配套措施，成效显著。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各实践教学环节教学要求明确，计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分；有工作计划和配套措施计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实践教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与行业、企业合作开展实践教学条件建设，初步建立起校内生产性实践基地的校企组合新模式</w:t>
            </w:r>
            <w:r>
              <w:rPr>
                <w:rFonts w:hint="eastAsia"/>
                <w:color w:val="000000"/>
                <w:w w:val="9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w w:val="90"/>
                <w:sz w:val="18"/>
                <w:szCs w:val="18"/>
                <w:lang w:val="en-US" w:eastAsia="zh-CN"/>
              </w:rPr>
              <w:t>体现产教融合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有校企合作的校内实践基地计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校内实训基地和校外实习基地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教学条件符合要求，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能够满足教学计划的安排。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基地建设有规划、每个专业有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个及以上稳定的实践教学基地，有协议、有管理措施，利用情况好。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实践教学基地充足，基地建设有规划计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有协议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分、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有管理措施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实训内容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注重实训内容更新，具有体现应用型人才培养、富有专业特色的实训项目。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有富有专业特色的实训项目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1 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业素质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重视学生职业道德、技术知识、操作技能和基本职业素质的培养，毕业生</w:t>
            </w:r>
            <w:r>
              <w:rPr>
                <w:rFonts w:hint="eastAsia"/>
                <w:color w:val="000000"/>
                <w:w w:val="90"/>
                <w:szCs w:val="21"/>
                <w:lang w:val="en-US" w:eastAsia="zh-CN"/>
              </w:rPr>
              <w:t>获取一个及以上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资格证书获取率达到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90%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以上。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毕业班级达标计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分，每低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5%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分，扣完为止。每提高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5%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加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教务处提供考核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积极组织或参加各项职业能力竞赛，在</w:t>
            </w:r>
            <w:r>
              <w:rPr>
                <w:rFonts w:hint="eastAsia" w:ascii="Times New Roman" w:hAnsi="Times New Roman"/>
                <w:bCs/>
                <w:color w:val="000000"/>
                <w:w w:val="90"/>
                <w:szCs w:val="21"/>
              </w:rPr>
              <w:t>市级及以上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学生职业能力竞赛活动中获得优胜以上的奖项。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组织了本专业的职业能力竞赛，有方案、有记载、有总结计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学院信息中心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组织学生参加了市级职业能力竞赛计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在</w:t>
            </w:r>
            <w:r>
              <w:rPr>
                <w:rFonts w:hint="eastAsia" w:ascii="Times New Roman" w:hAnsi="Times New Roman"/>
                <w:bCs/>
                <w:color w:val="000000"/>
                <w:w w:val="90"/>
                <w:szCs w:val="21"/>
              </w:rPr>
              <w:t>市级及以上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学生职业能力竞赛活动中获奖按《XX学院职业技能竞赛奖励办法》加分。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与教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5" w:leftChars="-26" w:right="-71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3-1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教学管理及其实践成果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常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认真执行院教学管理文件及有关规定，制定适合本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二级学院（部）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工作需要的教学管理文件和有关规定。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认真执行院教学管理文件及有关规定计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制定了本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二级学院（部）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工作需要的教学管理文件和有关规定计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认真做好“三查”（期初、期中、期末）常规教学检查，并及时做好总结、分析和整改。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做好“三查”计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分，少一次扣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3． 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落实学院专项检查，对发生问题有整改方案。能结合本单位具体实际，开展专项检查，有反馈和改进措施。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开展了专项检查，有反馈和改进措施计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4．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上报教学管理材料和报表及时。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上报教学管理材料和报表及时计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分，一次不及时扣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教务处提供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量监控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质量监控体系完备，建立了质量监控机构和制度，运行与效果良好。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建立了质量监控机构计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分，建立了质量监控计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质量监控运行效果良好，无教学事故发生。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无教学事故发生计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分，有教学事故不计分。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督导组提供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认真组织开展学生评教、同行互评、教师评学等活动，措施得当。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认真组织开展学生评教、同行互评、教师评学等活动计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分，少一项扣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4．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教学督导工作有计划、有总结。教学督导检查、专题督导分析报告归档规范、完整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教学督导工作有计划、有总结主计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教学督导检查、专题督导分析报告归档规范、完整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.5分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各类教学档案按《教学档案管理办法》收集完整，整理规范，查询方便。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收集完整，整理规范计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分，少一项扣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查看教学档案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3-2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教研工作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开展教学研究和赛事组织、同行教师互相听课、青年教师“传帮带”培养及课程研讨有记录和成效，取得良好效果。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有组织方案、具体实施及相关材料计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分；无组织方案扣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分；无具体实施扣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分；参加学院教学技能比赛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  <w:lang w:eastAsia="zh-CN"/>
              </w:rPr>
              <w:t>二级学院（部）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平均分居第一加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分，第二加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分，第三加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项目教学、工学结合、教研室建设、专业发展计划研讨记录和建设成效。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有计划有研讨记录计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分，少一项扣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“说课、说专业”研讨记录和开展。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有方案、有实施、有总结计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分，少一样扣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参加学院比赛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  <w:lang w:eastAsia="zh-CN"/>
              </w:rPr>
              <w:t>二级学院（部）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平均分居第一加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分，第二加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分，第三加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 w:val="18"/>
                <w:szCs w:val="18"/>
              </w:rPr>
              <w:t>分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教研教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以提高教学效果为目的，积极开展教研教改，有院级及以上教研教改项目。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有教改规划或计划计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有院级及以上教研教改项目计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3-3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教学运行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教师工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作规范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专任教师课程标准、授课计划、教材、教案、课件齐备。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各项教学文件齐全计</w:t>
            </w:r>
            <w:r>
              <w:rPr>
                <w:rFonts w:hint="eastAsia"/>
                <w:color w:val="000000"/>
                <w:w w:val="9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分，少一人次项扣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严格按照教学计划和课表实施教学，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每学期调课率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&lt;10%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宋体" w:hAnsi="宋体" w:eastAsia="宋体" w:cs="宋体"/>
                <w:color w:val="000000"/>
                <w:w w:val="9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无私自调课计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分，调课率低于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10%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计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18"/>
                <w:szCs w:val="18"/>
                <w:lang w:val="en-US" w:eastAsia="zh-CN"/>
              </w:rPr>
              <w:t>。不满足要求根据实际情况扣分。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课程考评管理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认真做好考试管理及学生考前教育工作。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(0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做好考试管理及学生考前教育工作计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实践性考核有方案、有完整记录材料。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实践性考核有方案计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分，有完整记录材料计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3．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试卷审批、送印、阅卷、分析、评析、收存等严格执行有关规定。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严格执行有关规定计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分，有一人次项缺漏扣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4．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考试成绩及时上报，无误登、漏登。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及时上报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分，误登、漏登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 xml:space="preserve"> 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人次扣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题库建设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理论考核和实践考核按《教考分离管理办法》，建立了试题库或试卷库。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建立了试题库或试卷库计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3-5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评教情况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学生评教、督导组评教总体反应良好。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学生评教、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督导组评教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平均分居第一计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分，第二计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分，第三计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分，第四计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分，第五计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6．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6-1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专业建设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专业设置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专业建设有规划、有措施。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专业建设有规划、有措施计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提供材料和记录（基础部、思政部不考核）。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新增专业有成效。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申报院级特色专业计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分，未申报计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分。申报成功加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特色专业建设规划合理，计划落实。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规划合理，计划落实计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2．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注重特色专业教学标准建设，在人才培养模式、教学保障体系、课程体系与教学内容、实践教学、教学设计与教学方法、师资队伍、社会服务等方面体现出特色，成效显著。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8)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专业特色明显计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3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有院级以上特色专业或重点专业加计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6-2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培养方案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修订人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才培养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人才培养方案符合高职高专办学理念、符合学院院办学指导思想，及时根据社会用人需求及人才培养目标的要求，</w:t>
            </w:r>
            <w:r>
              <w:rPr>
                <w:rFonts w:hint="eastAsia" w:ascii="Times New Roman" w:hAnsi="Times New Roman" w:cs="宋体"/>
                <w:bCs/>
                <w:color w:val="000000"/>
                <w:w w:val="90"/>
                <w:kern w:val="0"/>
                <w:szCs w:val="21"/>
              </w:rPr>
              <w:t>制定和修订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人才培养方案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修订培养方案，执行情况良好计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分；少修订一个专业扣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6-3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实习基地情况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实践教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学管理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1．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能根据人才培养目标与专业和课程发展，开展实践教学。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按要求开展了实践教学，教学效果明显计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查看教案或人才培养方案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2．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</w:rPr>
              <w:t>管理制度完善，实习实训大纲、指导书齐备，实训记录完整规范。</w:t>
            </w:r>
            <w:r>
              <w:rPr>
                <w:rFonts w:hint="eastAsia" w:ascii="Times New Roman" w:hAnsi="Times New Roman" w:cs="宋体"/>
                <w:color w:val="000000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完全符合要求计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分，少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人次项扣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提供材料和记录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7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建设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/>
                <w:color w:val="000000"/>
                <w:w w:val="90"/>
                <w:szCs w:val="21"/>
              </w:rPr>
              <w:t>7-5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学生考试违纪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程笔试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和实作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考试违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纪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)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学生遵守考试纪律，无考试违纪或作弊发生。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  <w:t>1)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无违纪计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分，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人次违纪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  <w:lang w:eastAsia="zh-CN"/>
              </w:rPr>
              <w:t>或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作弊扣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w w:val="9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分。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90"/>
                <w:szCs w:val="21"/>
              </w:rPr>
              <w:t>教务处考核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b/>
          <w:color w:val="000000"/>
          <w:szCs w:val="21"/>
        </w:rPr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A510F"/>
    <w:multiLevelType w:val="singleLevel"/>
    <w:tmpl w:val="406A51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016153BA"/>
    <w:rsid w:val="1CB80B8A"/>
    <w:rsid w:val="25882ED4"/>
    <w:rsid w:val="2B84608E"/>
    <w:rsid w:val="322E1E8E"/>
    <w:rsid w:val="56C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2024-01-26T07:52:00Z</dcterms:created>
  <dc:creator>yd</dc:creator>
  <cp:lastModifiedBy>yd</cp:lastModifiedBy>
  <dcterms:modified xsi:type="dcterms:W3CDTF">2024-02-22T08:57:42Z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94C7CC6686C944A3A6F9E6AA51E1B308_12</vt:lpwstr>
  </property>
</Properties>
</file>