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重庆现代制造职业学院教室使用与管理办法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教室是学院开展教学活动的重要场所，是学院的重要资源。为稳定教学秩序，确保教学工作的正常进行和资源的安全、有效利用，特制定本办法。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一、教室的常规安排与使用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（一）教室主要用于课堂教学和学生自修，学院所有教室均由教务处统一调度安排使用，未经教务处批准，任何单位或个人不应随意使用教室及室内设施设备。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（二）每学期由教务处按教学计划统一排定全校各类课程需要使用的教室，并于每学期开学前公布和下发全校课程排定表，统筹编排并正式公布各学期课程表使用教室。若课表发生异动，以教务处通知为准。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星期日晚上全校教室统一安排进行周末教育，由学生工作处负责分配至各二级学院（部）。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（四）教师因学院教学计划内所授课程的调课、补课需要使用教室，应出示教务处盖章的《调课、代课、停课申请表》。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（五）学院所有教室，除寒、暑假外，必须每日（含双休日和节假日）开放。除批准设立的通宵教室外，所有教室的开放时间为7：40～12：10； 14：00～22：30。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（六）凡带娱乐、经营、推销性质的活动，一律不得在教室内举行。教学楼周围不得举行影响正常教学的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二、教室的临时借用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（一）在保证正常教学活动的前提下，准许校内外单位或个人临时借用教室，借用教室分为无偿借用和有偿借用。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学院党、政、工、团和学生会因活动需要在非寒暑假借用教室为无偿借用。借用教室的单位或人员须凭加盖教务处章的教室借用单，经门卫值班室核实后方能使用教室。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校内外单位在节假日、双休日、寒暑假举办各种收费培训班而借用教室为有偿借用。借用教室的单位须凭教室借用单和学院财务部的交费收据，经核实后方能使用教室；校外单位借用教室还应以书面承诺形式，明确表示遵守我院教室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（二）教室的临时借用由教务处统一管理。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1．校内各二级学院（部）、班、各单位临时使用教室，应持单位证明，提前到教务处办理借用手续。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2．校内外单位举办各类培训班使用教室，均须持单位证明，提前到教务处按有关规定办理借用手续。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3．学生团体或班级组织活动需用教室者，应提出书面申请，经院团委或学生处负责人签字、加盖公章后，到教务处办理手续，教务处在条件许可的情况下，予以安排。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（三）凡使用与借用教室者，必须严格按照教务处安排的教室使用，不得擅自更改地点，不得随意更改所借教室的用途，不得随意张贴，不得使用未经授权使用的设备设施。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三、教学楼设备设施管理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教务处负责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教室（不含多媒体教室内多媒体设备）设备设施的报修工作，各教室清洁保洁员负责设备设施的日常检查工作。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负责对教室桌椅、玻璃、门窗、墙体、黑板等进行维修，能源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水电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中心负责对电灯、电源、插座开关、电扇等进行维修。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负责多媒体教室、计算机房内设备（含软件系统）、教室广播、扩音设备及电铃的日常管理与维护。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（四）任何进入教室的人员均应爱护教室内的设备设施，不得损坏桌椅、讲台、黑板、灯具、电扇、门窗、窗帘、玻璃、教学监控设备等。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对造成上述设施损坏者，经核实后须照价赔偿，同时进行批评教育，情节严重者学院将给予相应处分。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（五）教室内设备设施只限在原教室使用，未经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同意不得挪动或搬出本室外，更不得移作他用。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（六）任何进入教学楼的人员，使用教室内外的水电均应节约，不得浪费，做到人少少开灯，人走关灯关水，防止浪费能源的行为和现象。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四、教学楼环境卫生及安全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（一）由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负责对公共阶梯教室、各教学楼及体育场地的保洁工作，并建立相应的教学区安全、卫生和节能检查机制与责任追究机制。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（二）校内学生参加勤工助学活动，经学生处批准后可进行教室清洁卫生打扫，由教学楼管理员负责抽查。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（三）进入教学楼的人员均应服从教学楼管理员的管理，尊重清洁保洁员的劳动，自觉维护教学场所环境卫生，保持教学场所整洁。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（四）进入教学楼区域的人员不应有以下行为，违者将受到批评教育，情节恶劣者按学院有关规定给予处分：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1．未经学院有关部门批准而在墙壁上写、画（刻）、贴。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2．楼内踢球或打闹致使墙面产生球印、脚印。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3．在教学场所随地吐痰，果皮纸屑未丢入指定垃圾箱、篓等。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4．在教室吸烟、进餐等。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5．随意挪动桌椅或破坏室内整洁。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6．随意蹬踏桌椅、泼洒墨水或颜料以及在桌凳上刻画。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（五）任何单位和个人未经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批准，不得在教学楼张贴、悬挂任何物品。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（六）学院保卫处负责教学楼的保卫及消防安全工作。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（七）教学楼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巡逻保安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负责制止教学楼内外影响正常教学的活动或施工，对不听劝阻者送保卫处进行处理。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五、多媒体教室的申请使用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（一）全部教学过程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必须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使用多媒体教室的课程，任课教师应在上一学期排课前提出，经所在二级学院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审批，报教务处审核批准后统一安排。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（二）教学部分内容需要使用多媒体教室的课程，任课教师应在一周前提出，经所在二级学院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审核，报教务处批准安排。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教学多媒体课件应当全程具有图表或动画。以文字为主的大纲（教案）式课件，不予安排多媒体教室教学。使用多媒体设备教学的教师，应同时准备纸质教案（讲稿），以防设备发生故障时影响正常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（四）教师使用多媒体设备教学，应经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培训，熟悉设备的操作程序和方法。发现设备异常应立即报告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管理人员，由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派专人检查，不得自行处置。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（五）多媒体设备使用完毕，必须按规定关闭投影机、电动屏幕、功放和计算机，将设备放置原处，切断电源，锁好机柜，并填写使用登记单。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）有关单位必须使用多媒体教室及其设备时，须于2天前报教务处审核，经教务处批准后安排。使用多媒体教室不得影响正常上课使用。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六、多媒体教室的日常管理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（一）除礼堂由团委管理，统一调度使用外，其他多媒体教室均由教务处管理，统一调度使用。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（二）教务处应与学院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联系，指定专人负责多媒体教室的卫生及设备保洁，如机柜钥匙保管与开启，及时更换扩音器和话筒的电池等。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（三）教室管理人员每天锁门时应检查多媒体机柜，及时上锁，发现被撬和损坏等应及时报告教务处有关负责人，并报保卫处、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七、多媒体教室的建设与维护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（一）新建多媒体教室，应根据教学需要和学院财力，由教务处提出申请，经主管副院长和院长审批，报院长办公会审议决定。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（二）添置、更换多媒体设备，由教务处和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提出申请，经主管副院长和院长审批决定。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（三）多媒体设备（含系统软件）的规格和技术指标，由教务处及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确定，交学院资产处购买；多媒体设备安装时，由教务处、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派专门人员监督、验收。验收合格后，账和卡交付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（四）多媒体设备的维护，由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负责。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应在每学期停课后派专人对设备进行检查，及时解决各种软、硬件故障，保证下学期正常运行。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（五）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应在多媒体设备的明显位置，贴置设备操作程序和使用注意事项。使用多媒体设备者必须严格遵照操作程序和方法。因违规操作造成设备损坏的，须照价赔偿。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（六）多媒体设备出现故障或损坏，由教务处负责填单（紧急情况下可电话通知），报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（七）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收到教务处的报修单（或电话通知）后，应立即安排人员检查设备，及时处理；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技术力量不能解决的问题，应立即报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应及时安排解决。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（八）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应负责安装、维护多媒体设备需要的常规教学软件；未经网络信息中心许可，任何人不得在多媒体设备上安装其它软件。教师使用专业性较强的软件应自备笔记本电脑。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九）严禁任何人在电动屏幕上写画。学生应当爱护多媒体设备，不得在课间操作多媒体设备或插盘拷贝文件，不得擅自开起多媒体机柜或移动其它有关设备。违反上述规定的，由学生处视情节轻重给予批评教育或纪律处分，造成设备损坏的须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八、本办法中所指教室包括学院范围内用作教学用的所有室内场所（含一般教室、阶梯教室、专用教室、语音教室、多媒体教室、计算机房、礼堂等）。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九、本办法适用于我院各类教室的管理，同时涉及对教室所在教学楼及周边环境的管理。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十、本办法由学院授权教务处、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eastAsia="zh-CN"/>
        </w:rPr>
        <w:t>后勤服务处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lang w:eastAsia="zh-CN"/>
        </w:rPr>
        <w:t>学院信息中心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负责解释，经院长办公会议审议通过后自发布之日起执行。</w:t>
      </w: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0ACF2184"/>
    <w:rsid w:val="1AE24F7D"/>
    <w:rsid w:val="35C159EA"/>
    <w:rsid w:val="7A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 Indent"/>
    <w:basedOn w:val="1"/>
    <w:unhideWhenUsed/>
    <w:uiPriority w:val="99"/>
    <w:pPr>
      <w:spacing w:after="120" w:line="440" w:lineRule="exact"/>
      <w:ind w:left="420" w:leftChars="200" w:firstLine="200"/>
    </w:pPr>
  </w:style>
  <w:style w:type="paragraph" w:styleId="4">
    <w:name w:val="Body Text First Indent 2"/>
    <w:basedOn w:val="3"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yd</dc:creator>
  <cp:lastModifiedBy>yd</cp:lastModifiedBy>
  <dcterms:modified xsi:type="dcterms:W3CDTF">2024-01-30T09:47:47Z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148ACBBDA82449BAA062DACCA187BBFD_12</vt:lpwstr>
  </property>
</Properties>
</file>